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AD3A" w14:textId="77777777" w:rsidR="009450FF" w:rsidRPr="005E4C29" w:rsidRDefault="009450FF" w:rsidP="009450FF">
      <w:pPr>
        <w:pStyle w:val="NoSpacing"/>
        <w:numPr>
          <w:ilvl w:val="0"/>
          <w:numId w:val="59"/>
        </w:numPr>
        <w:rPr>
          <w:sz w:val="18"/>
          <w:szCs w:val="18"/>
          <w:lang w:val="en-US"/>
        </w:rPr>
      </w:pPr>
      <w:r w:rsidRPr="005E4C29">
        <w:rPr>
          <w:sz w:val="18"/>
          <w:szCs w:val="18"/>
          <w:lang w:val="en-US"/>
        </w:rPr>
        <w:t>New primary sources for your courses</w:t>
      </w:r>
    </w:p>
    <w:p w14:paraId="13587DE1" w14:textId="77777777" w:rsidR="009450FF" w:rsidRPr="005E4C29" w:rsidRDefault="009450FF" w:rsidP="009450FF">
      <w:pPr>
        <w:pStyle w:val="NoSpacing"/>
        <w:numPr>
          <w:ilvl w:val="0"/>
          <w:numId w:val="59"/>
        </w:numPr>
        <w:rPr>
          <w:sz w:val="18"/>
          <w:szCs w:val="18"/>
          <w:lang w:val="en-US"/>
        </w:rPr>
      </w:pPr>
      <w:r w:rsidRPr="005E4C29">
        <w:rPr>
          <w:sz w:val="18"/>
          <w:szCs w:val="18"/>
          <w:lang w:val="en-US"/>
        </w:rPr>
        <w:t>Teach with six centuries of primary source evidence</w:t>
      </w:r>
    </w:p>
    <w:p w14:paraId="61DA9A05" w14:textId="6234044B" w:rsidR="009450FF" w:rsidRPr="005E4C29" w:rsidRDefault="009450FF" w:rsidP="009450FF">
      <w:pPr>
        <w:pStyle w:val="NoSpacing"/>
        <w:numPr>
          <w:ilvl w:val="0"/>
          <w:numId w:val="59"/>
        </w:numPr>
        <w:rPr>
          <w:sz w:val="18"/>
          <w:szCs w:val="18"/>
          <w:lang w:val="en-US"/>
        </w:rPr>
      </w:pPr>
      <w:r w:rsidRPr="005E4C29">
        <w:rPr>
          <w:sz w:val="18"/>
          <w:szCs w:val="18"/>
          <w:lang w:val="en-US"/>
        </w:rPr>
        <w:t>Build stronger student research with archives</w:t>
      </w:r>
    </w:p>
    <w:p w14:paraId="05E5A712" w14:textId="77777777" w:rsidR="009450FF" w:rsidRPr="000C349E" w:rsidRDefault="009450FF" w:rsidP="009450FF">
      <w:pPr>
        <w:pStyle w:val="NoSpacing"/>
        <w:pBdr>
          <w:bottom w:val="single" w:sz="4" w:space="1" w:color="auto"/>
        </w:pBdr>
        <w:rPr>
          <w:sz w:val="10"/>
          <w:szCs w:val="10"/>
          <w:lang w:val="en-US"/>
        </w:rPr>
      </w:pPr>
    </w:p>
    <w:p w14:paraId="7FAC8063" w14:textId="77777777" w:rsidR="009450FF" w:rsidRPr="009450FF" w:rsidRDefault="009450FF" w:rsidP="00C61659">
      <w:pPr>
        <w:pStyle w:val="NoSpacing"/>
        <w:rPr>
          <w:rFonts w:ascii="Avenir Next LT Pro Demi" w:eastAsia="Times New Roman" w:hAnsi="Avenir Next LT Pro Demi" w:cs="Times New Roman"/>
          <w:bCs/>
          <w:color w:val="000000"/>
          <w:sz w:val="4"/>
          <w:szCs w:val="4"/>
        </w:rPr>
      </w:pPr>
    </w:p>
    <w:p w14:paraId="2B6A7BA7" w14:textId="44EA2A64" w:rsidR="000535B4" w:rsidRPr="009450FF" w:rsidRDefault="009450FF" w:rsidP="00F63654">
      <w:pPr>
        <w:pStyle w:val="NoSpacing"/>
        <w:rPr>
          <w:sz w:val="10"/>
          <w:szCs w:val="10"/>
        </w:rPr>
      </w:pPr>
      <w:r w:rsidRPr="009450FF">
        <w:rPr>
          <w:rFonts w:ascii="Avenir Next LT Pro Demi" w:eastAsia="Times New Roman" w:hAnsi="Avenir Next LT Pro Demi" w:cs="Times New Roman"/>
          <w:bCs/>
          <w:color w:val="000000"/>
          <w:sz w:val="40"/>
          <w:szCs w:val="40"/>
        </w:rPr>
        <w:t>ProQuest Digital Collections</w:t>
      </w:r>
      <w:r w:rsidR="00F63654" w:rsidRPr="000535B4">
        <w:rPr>
          <w:sz w:val="16"/>
          <w:szCs w:val="16"/>
        </w:rPr>
        <w:br/>
      </w:r>
    </w:p>
    <w:p w14:paraId="65675ECE" w14:textId="2337B6BF" w:rsidR="00F63654" w:rsidRDefault="005B7B2D" w:rsidP="00F63654">
      <w:pPr>
        <w:pStyle w:val="NoSpacing"/>
        <w:rPr>
          <w:sz w:val="20"/>
          <w:szCs w:val="20"/>
          <w:lang w:val="en-US"/>
        </w:rPr>
      </w:pPr>
      <w:r w:rsidRPr="004F71FC">
        <w:rPr>
          <w:b/>
          <w:bCs/>
          <w:sz w:val="20"/>
          <w:szCs w:val="20"/>
          <w:lang w:val="en-US"/>
        </w:rPr>
        <w:t>ProQuest Digital Collections</w:t>
      </w:r>
      <w:r w:rsidRPr="004F71FC">
        <w:rPr>
          <w:sz w:val="20"/>
          <w:szCs w:val="20"/>
          <w:lang w:val="en-US"/>
        </w:rPr>
        <w:t xml:space="preserve"> provides curriculum</w:t>
      </w:r>
      <w:r w:rsidRPr="004F71FC">
        <w:rPr>
          <w:rFonts w:ascii="Cambria Math" w:hAnsi="Cambria Math" w:cs="Cambria Math"/>
          <w:sz w:val="20"/>
          <w:szCs w:val="20"/>
          <w:lang w:val="en-US"/>
        </w:rPr>
        <w:t>‑</w:t>
      </w:r>
      <w:r w:rsidRPr="004F71FC">
        <w:rPr>
          <w:sz w:val="20"/>
          <w:szCs w:val="20"/>
          <w:lang w:val="en-US"/>
        </w:rPr>
        <w:t>aligned access to over 160 million primary source items spanning six centuries, from 1450 to the present. With rare and multiformat content across key humanities and social science disciplines, it supports research, teaching, and interdisciplinary study</w:t>
      </w:r>
      <w:r w:rsidR="0046593B" w:rsidRPr="004F71FC">
        <w:rPr>
          <w:sz w:val="20"/>
          <w:szCs w:val="20"/>
          <w:lang w:val="en-US"/>
        </w:rPr>
        <w:t xml:space="preserve"> for core</w:t>
      </w:r>
      <w:r w:rsidR="00CE5E95" w:rsidRPr="004F71FC">
        <w:rPr>
          <w:sz w:val="20"/>
          <w:szCs w:val="20"/>
          <w:lang w:val="en-US"/>
        </w:rPr>
        <w:t xml:space="preserve"> areas</w:t>
      </w:r>
      <w:r w:rsidR="005B4DA4" w:rsidRPr="004F71FC">
        <w:rPr>
          <w:sz w:val="20"/>
          <w:szCs w:val="20"/>
          <w:lang w:val="en-US"/>
        </w:rPr>
        <w:t xml:space="preserve">. </w:t>
      </w:r>
    </w:p>
    <w:p w14:paraId="197F4AB4" w14:textId="77777777" w:rsidR="004E2DEE" w:rsidRPr="00710E44" w:rsidRDefault="004E2DEE" w:rsidP="00F63654">
      <w:pPr>
        <w:pStyle w:val="NoSpacing"/>
        <w:rPr>
          <w:sz w:val="10"/>
          <w:szCs w:val="1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28"/>
        <w:gridCol w:w="3688"/>
      </w:tblGrid>
      <w:tr w:rsidR="004E2DEE" w14:paraId="31E39079" w14:textId="77777777" w:rsidTr="00D4564D">
        <w:tc>
          <w:tcPr>
            <w:tcW w:w="5328" w:type="dxa"/>
          </w:tcPr>
          <w:p w14:paraId="416B90AD" w14:textId="77777777" w:rsidR="004E2DEE" w:rsidRPr="004F71FC" w:rsidRDefault="004E2DEE" w:rsidP="004E2DEE">
            <w:pPr>
              <w:pStyle w:val="NoSpacing"/>
              <w:rPr>
                <w:b/>
                <w:bCs/>
                <w:sz w:val="20"/>
                <w:szCs w:val="20"/>
                <w:lang w:val="en-US"/>
              </w:rPr>
            </w:pPr>
            <w:r w:rsidRPr="004F71FC">
              <w:rPr>
                <w:b/>
                <w:bCs/>
                <w:sz w:val="20"/>
                <w:szCs w:val="20"/>
                <w:lang w:val="en-US"/>
              </w:rPr>
              <w:t>Best for</w:t>
            </w:r>
          </w:p>
          <w:p w14:paraId="569A236C"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Supporting interdisciplinary teaching and research across humanities and social sciences</w:t>
            </w:r>
          </w:p>
          <w:p w14:paraId="724DD99F"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Building primary source literacy in undergraduate and graduate coursework</w:t>
            </w:r>
          </w:p>
          <w:p w14:paraId="2FA29E7A" w14:textId="77777777" w:rsidR="004E2DEE" w:rsidRPr="004F71FC" w:rsidRDefault="004E2DEE" w:rsidP="00710E44">
            <w:pPr>
              <w:pStyle w:val="NoSpacing"/>
              <w:numPr>
                <w:ilvl w:val="0"/>
                <w:numId w:val="57"/>
              </w:numPr>
              <w:rPr>
                <w:sz w:val="20"/>
                <w:szCs w:val="20"/>
                <w:lang w:val="en-US"/>
              </w:rPr>
            </w:pPr>
            <w:r w:rsidRPr="004F71FC">
              <w:rPr>
                <w:sz w:val="20"/>
                <w:szCs w:val="20"/>
                <w:lang w:val="en-US"/>
              </w:rPr>
              <w:t>Helping faculty and students discover primary sources quickly and confidently</w:t>
            </w:r>
          </w:p>
          <w:p w14:paraId="76ADB4CE" w14:textId="77777777" w:rsidR="004E2DEE" w:rsidRPr="00710E44" w:rsidRDefault="004E2DEE" w:rsidP="00F63654">
            <w:pPr>
              <w:pStyle w:val="NoSpacing"/>
              <w:rPr>
                <w:sz w:val="10"/>
                <w:szCs w:val="10"/>
                <w:lang w:val="en-US"/>
              </w:rPr>
            </w:pPr>
          </w:p>
        </w:tc>
        <w:tc>
          <w:tcPr>
            <w:tcW w:w="3688" w:type="dxa"/>
          </w:tcPr>
          <w:p w14:paraId="4DCA8BF4" w14:textId="77777777" w:rsidR="004E2DEE" w:rsidRPr="004F71FC" w:rsidRDefault="004E2DEE" w:rsidP="004E2DEE">
            <w:pPr>
              <w:pStyle w:val="NoSpacing"/>
              <w:rPr>
                <w:b/>
                <w:bCs/>
                <w:sz w:val="20"/>
                <w:szCs w:val="20"/>
                <w:lang w:val="en-US"/>
              </w:rPr>
            </w:pPr>
            <w:r w:rsidRPr="004F71FC">
              <w:rPr>
                <w:b/>
                <w:bCs/>
                <w:sz w:val="20"/>
                <w:szCs w:val="20"/>
                <w:lang w:val="en-US"/>
              </w:rPr>
              <w:t>Ideal for courses</w:t>
            </w:r>
          </w:p>
          <w:p w14:paraId="6E67EFEC" w14:textId="77777777" w:rsidR="004E2DEE" w:rsidRPr="004F71FC" w:rsidRDefault="004E2DEE" w:rsidP="00710E44">
            <w:pPr>
              <w:pStyle w:val="NoSpacing"/>
              <w:numPr>
                <w:ilvl w:val="0"/>
                <w:numId w:val="58"/>
              </w:numPr>
              <w:rPr>
                <w:sz w:val="20"/>
                <w:szCs w:val="20"/>
                <w:lang w:val="en-US"/>
              </w:rPr>
            </w:pPr>
            <w:r w:rsidRPr="004F71FC">
              <w:rPr>
                <w:sz w:val="20"/>
                <w:szCs w:val="20"/>
                <w:lang w:val="en-US"/>
              </w:rPr>
              <w:t>First-year writing and research methods</w:t>
            </w:r>
          </w:p>
          <w:p w14:paraId="246C1A3C" w14:textId="77777777" w:rsidR="004E2DEE" w:rsidRPr="004F71FC" w:rsidRDefault="004E2DEE" w:rsidP="00710E44">
            <w:pPr>
              <w:pStyle w:val="NoSpacing"/>
              <w:numPr>
                <w:ilvl w:val="0"/>
                <w:numId w:val="58"/>
              </w:numPr>
              <w:rPr>
                <w:sz w:val="20"/>
                <w:szCs w:val="20"/>
                <w:lang w:val="en-US"/>
              </w:rPr>
            </w:pPr>
            <w:r w:rsidRPr="004F71FC">
              <w:rPr>
                <w:sz w:val="20"/>
                <w:szCs w:val="20"/>
                <w:lang w:val="en-US"/>
              </w:rPr>
              <w:t>Upper-division seminars with primary source requirements</w:t>
            </w:r>
          </w:p>
          <w:p w14:paraId="00FE2BD1" w14:textId="6D34FAD4" w:rsidR="004E2DEE" w:rsidRPr="00D4564D" w:rsidRDefault="004E2DEE" w:rsidP="00F63654">
            <w:pPr>
              <w:pStyle w:val="NoSpacing"/>
              <w:numPr>
                <w:ilvl w:val="0"/>
                <w:numId w:val="58"/>
              </w:numPr>
              <w:rPr>
                <w:sz w:val="20"/>
                <w:szCs w:val="20"/>
                <w:lang w:val="en-US"/>
              </w:rPr>
            </w:pPr>
            <w:r w:rsidRPr="004F71FC">
              <w:rPr>
                <w:sz w:val="20"/>
                <w:szCs w:val="20"/>
                <w:lang w:val="en-US"/>
              </w:rPr>
              <w:t>Interdisciplinary programs across humanities and social sciences</w:t>
            </w:r>
          </w:p>
        </w:tc>
      </w:tr>
    </w:tbl>
    <w:p w14:paraId="33FEB11C" w14:textId="4B0F7EE4" w:rsidR="001D1CF2" w:rsidRPr="00A47BB4" w:rsidRDefault="00901EA7" w:rsidP="001D1CF2">
      <w:pPr>
        <w:pStyle w:val="NoSpacing"/>
        <w:rPr>
          <w:b/>
          <w:bCs/>
          <w:sz w:val="20"/>
          <w:szCs w:val="20"/>
          <w:lang w:val="en-US"/>
        </w:rPr>
      </w:pPr>
      <w:r w:rsidRPr="00A47BB4">
        <w:rPr>
          <w:b/>
          <w:bCs/>
          <w:sz w:val="20"/>
          <w:szCs w:val="20"/>
          <w:lang w:val="en-US"/>
        </w:rPr>
        <w:t>Teaching idea</w:t>
      </w:r>
      <w:r w:rsidR="001D1CF2" w:rsidRPr="00A47BB4">
        <w:rPr>
          <w:b/>
          <w:bCs/>
          <w:sz w:val="20"/>
          <w:szCs w:val="20"/>
          <w:lang w:val="en-US"/>
        </w:rPr>
        <w:t>s</w:t>
      </w:r>
    </w:p>
    <w:p w14:paraId="7D42D9E3" w14:textId="77777777" w:rsidR="00085102" w:rsidRPr="004F71FC" w:rsidRDefault="00085102" w:rsidP="00710E44">
      <w:pPr>
        <w:pStyle w:val="NoSpacing"/>
        <w:numPr>
          <w:ilvl w:val="0"/>
          <w:numId w:val="30"/>
        </w:numPr>
        <w:rPr>
          <w:sz w:val="20"/>
          <w:szCs w:val="20"/>
          <w:lang w:val="en-US"/>
        </w:rPr>
      </w:pPr>
      <w:r w:rsidRPr="00A47BB4">
        <w:rPr>
          <w:b/>
          <w:bCs/>
          <w:sz w:val="20"/>
          <w:szCs w:val="20"/>
          <w:lang w:val="en-US"/>
        </w:rPr>
        <w:t>Format</w:t>
      </w:r>
      <w:r w:rsidRPr="00D4564D">
        <w:rPr>
          <w:b/>
          <w:bCs/>
          <w:sz w:val="20"/>
          <w:szCs w:val="20"/>
          <w:lang w:val="en-US"/>
        </w:rPr>
        <w:t xml:space="preserve"> and Medium Methods Analysis</w:t>
      </w:r>
      <w:r w:rsidRPr="004F71FC">
        <w:rPr>
          <w:b/>
          <w:bCs/>
          <w:sz w:val="20"/>
          <w:szCs w:val="20"/>
          <w:lang w:val="en-US"/>
        </w:rPr>
        <w:t xml:space="preserve"> </w:t>
      </w:r>
      <w:r w:rsidRPr="00710E44">
        <w:rPr>
          <w:sz w:val="20"/>
          <w:szCs w:val="20"/>
          <w:lang w:val="en-US"/>
        </w:rPr>
        <w:t>—</w:t>
      </w:r>
      <w:r w:rsidRPr="004F71FC">
        <w:rPr>
          <w:b/>
          <w:bCs/>
          <w:sz w:val="20"/>
          <w:szCs w:val="20"/>
          <w:lang w:val="en-US"/>
        </w:rPr>
        <w:t xml:space="preserve"> </w:t>
      </w:r>
      <w:r w:rsidRPr="004F71FC">
        <w:rPr>
          <w:sz w:val="20"/>
          <w:szCs w:val="20"/>
          <w:lang w:val="en-US"/>
        </w:rPr>
        <w:t>Students locate three formats on the same topic (e.g., report, newspaper account, performance) and evaluate creator, purpose, and audience for each.</w:t>
      </w:r>
    </w:p>
    <w:p w14:paraId="02D9EC17" w14:textId="2338CCA1" w:rsidR="00085102" w:rsidRPr="00710E44" w:rsidRDefault="00085102" w:rsidP="00710E44">
      <w:pPr>
        <w:pStyle w:val="NoSpacing"/>
        <w:ind w:left="720"/>
        <w:rPr>
          <w:sz w:val="20"/>
          <w:szCs w:val="20"/>
          <w:lang w:val="en-US"/>
        </w:rPr>
      </w:pPr>
      <w:r w:rsidRPr="004F71FC">
        <w:rPr>
          <w:sz w:val="20"/>
          <w:szCs w:val="20"/>
          <w:lang w:val="en-US"/>
        </w:rPr>
        <w:t>Deliverable: a short synthesis noting one limitation or bias per source and how medium and context shape interpretation.</w:t>
      </w:r>
    </w:p>
    <w:p w14:paraId="65093DA0" w14:textId="77777777" w:rsidR="00AC2811" w:rsidRPr="004F71FC" w:rsidRDefault="00AC2811" w:rsidP="00710E44">
      <w:pPr>
        <w:pStyle w:val="NoSpacing"/>
        <w:numPr>
          <w:ilvl w:val="0"/>
          <w:numId w:val="30"/>
        </w:numPr>
        <w:rPr>
          <w:b/>
          <w:bCs/>
          <w:sz w:val="20"/>
          <w:szCs w:val="20"/>
          <w:lang w:val="en-US"/>
        </w:rPr>
      </w:pPr>
      <w:r w:rsidRPr="004F71FC">
        <w:rPr>
          <w:b/>
          <w:bCs/>
          <w:sz w:val="20"/>
          <w:szCs w:val="20"/>
          <w:lang w:val="en-US"/>
        </w:rPr>
        <w:t xml:space="preserve">Evidence Triangulation Mini-Dossier </w:t>
      </w:r>
      <w:r w:rsidRPr="00710E44">
        <w:rPr>
          <w:sz w:val="20"/>
          <w:szCs w:val="20"/>
          <w:lang w:val="en-US"/>
        </w:rPr>
        <w:t>—</w:t>
      </w:r>
      <w:r w:rsidRPr="004F71FC">
        <w:rPr>
          <w:b/>
          <w:bCs/>
          <w:sz w:val="20"/>
          <w:szCs w:val="20"/>
          <w:lang w:val="en-US"/>
        </w:rPr>
        <w:t xml:space="preserve"> </w:t>
      </w:r>
      <w:r w:rsidRPr="004F71FC">
        <w:rPr>
          <w:sz w:val="20"/>
          <w:szCs w:val="20"/>
          <w:lang w:val="en-US"/>
        </w:rPr>
        <w:t xml:space="preserve">Have students choose one research question and locate three different evidence types. </w:t>
      </w:r>
    </w:p>
    <w:p w14:paraId="0BD57D60" w14:textId="6C3BB85B" w:rsidR="0011274A" w:rsidRPr="004F71FC" w:rsidRDefault="00AC2811" w:rsidP="00710E44">
      <w:pPr>
        <w:pStyle w:val="NoSpacing"/>
        <w:ind w:left="720"/>
        <w:rPr>
          <w:b/>
          <w:bCs/>
          <w:sz w:val="20"/>
          <w:szCs w:val="20"/>
          <w:lang w:val="en-US"/>
        </w:rPr>
      </w:pPr>
      <w:r w:rsidRPr="004F71FC">
        <w:rPr>
          <w:sz w:val="20"/>
          <w:szCs w:val="20"/>
          <w:lang w:val="en-US"/>
        </w:rPr>
        <w:t>Deliverable: a one-page mini-dossier explaining what each source contributes, what it cannot prove on its own, and where the sources corroborate or conflict.</w:t>
      </w:r>
    </w:p>
    <w:p w14:paraId="3AD80CE9" w14:textId="43A77F90" w:rsidR="0011274A" w:rsidRPr="004F71FC" w:rsidRDefault="001D1CF2" w:rsidP="00710E44">
      <w:pPr>
        <w:pStyle w:val="NoSpacing"/>
        <w:numPr>
          <w:ilvl w:val="0"/>
          <w:numId w:val="30"/>
        </w:numPr>
        <w:rPr>
          <w:b/>
          <w:bCs/>
          <w:sz w:val="20"/>
          <w:szCs w:val="20"/>
          <w:lang w:val="en-US"/>
        </w:rPr>
      </w:pPr>
      <w:r w:rsidRPr="004F71FC">
        <w:rPr>
          <w:b/>
          <w:bCs/>
          <w:sz w:val="20"/>
          <w:szCs w:val="20"/>
          <w:lang w:val="en-US"/>
        </w:rPr>
        <w:t>Competing Perspectives Comparison</w:t>
      </w:r>
      <w:r w:rsidR="000D0D93" w:rsidRPr="004F71FC">
        <w:rPr>
          <w:b/>
          <w:bCs/>
          <w:sz w:val="20"/>
          <w:szCs w:val="20"/>
          <w:lang w:val="en-US"/>
        </w:rPr>
        <w:t xml:space="preserve"> </w:t>
      </w:r>
      <w:r w:rsidR="000D0D93" w:rsidRPr="00710E44">
        <w:rPr>
          <w:sz w:val="20"/>
          <w:szCs w:val="20"/>
          <w:lang w:val="en-US"/>
        </w:rPr>
        <w:t>—</w:t>
      </w:r>
      <w:r w:rsidR="000D0D93" w:rsidRPr="004F71FC">
        <w:rPr>
          <w:b/>
          <w:bCs/>
          <w:sz w:val="20"/>
          <w:szCs w:val="20"/>
          <w:lang w:val="en-US"/>
        </w:rPr>
        <w:t xml:space="preserve"> </w:t>
      </w:r>
      <w:r w:rsidRPr="004F71FC">
        <w:rPr>
          <w:sz w:val="20"/>
          <w:szCs w:val="20"/>
          <w:lang w:val="en-US"/>
        </w:rPr>
        <w:t>Assign a topic with clear competing interests (e.g., censorship, suffrage, colonial policy, campus activism, war)</w:t>
      </w:r>
      <w:r w:rsidR="00F546DC" w:rsidRPr="004F71FC">
        <w:rPr>
          <w:sz w:val="20"/>
          <w:szCs w:val="20"/>
          <w:lang w:val="en-US"/>
        </w:rPr>
        <w:t>; s</w:t>
      </w:r>
      <w:r w:rsidRPr="004F71FC">
        <w:rPr>
          <w:sz w:val="20"/>
          <w:szCs w:val="20"/>
          <w:lang w:val="en-US"/>
        </w:rPr>
        <w:t>tudents locate sources representing at least two stakeholder perspectives (e.g., official, activist, press, personal correspondence).</w:t>
      </w:r>
      <w:r w:rsidR="00F546DC" w:rsidRPr="004F71FC">
        <w:rPr>
          <w:sz w:val="20"/>
          <w:szCs w:val="20"/>
          <w:lang w:val="en-US"/>
        </w:rPr>
        <w:t xml:space="preserve"> </w:t>
      </w:r>
      <w:r w:rsidRPr="004F71FC">
        <w:rPr>
          <w:sz w:val="20"/>
          <w:szCs w:val="20"/>
          <w:lang w:val="en-US"/>
        </w:rPr>
        <w:t xml:space="preserve"> </w:t>
      </w:r>
    </w:p>
    <w:p w14:paraId="4ADF7B8B" w14:textId="14DFCC07" w:rsidR="00AC2811" w:rsidRPr="004F71FC" w:rsidRDefault="001D1CF2" w:rsidP="00710E44">
      <w:pPr>
        <w:pStyle w:val="NoSpacing"/>
        <w:ind w:left="720"/>
        <w:rPr>
          <w:sz w:val="20"/>
          <w:szCs w:val="20"/>
          <w:lang w:val="en-US"/>
        </w:rPr>
      </w:pPr>
      <w:r w:rsidRPr="004F71FC">
        <w:rPr>
          <w:sz w:val="20"/>
          <w:szCs w:val="20"/>
          <w:lang w:val="en-US"/>
        </w:rPr>
        <w:t>Deliverable: a comparative analysis identifying differences in language, goals, and claimed facts, supported with quoted evidence.</w:t>
      </w:r>
    </w:p>
    <w:p w14:paraId="01A27AA9" w14:textId="77777777" w:rsidR="00AC2811" w:rsidRPr="004F71FC" w:rsidRDefault="00AC2811" w:rsidP="00710E44">
      <w:pPr>
        <w:pStyle w:val="NoSpacing"/>
        <w:numPr>
          <w:ilvl w:val="0"/>
          <w:numId w:val="30"/>
        </w:numPr>
        <w:rPr>
          <w:b/>
          <w:bCs/>
          <w:sz w:val="20"/>
          <w:szCs w:val="20"/>
          <w:lang w:val="en-US"/>
        </w:rPr>
      </w:pPr>
      <w:r w:rsidRPr="004F71FC">
        <w:rPr>
          <w:b/>
          <w:bCs/>
          <w:sz w:val="20"/>
          <w:szCs w:val="20"/>
          <w:lang w:val="en-US"/>
        </w:rPr>
        <w:t xml:space="preserve">Primary Source Exhibit Labels (Public-Facing </w:t>
      </w:r>
      <w:proofErr w:type="gramStart"/>
      <w:r w:rsidRPr="004F71FC">
        <w:rPr>
          <w:b/>
          <w:bCs/>
          <w:sz w:val="20"/>
          <w:szCs w:val="20"/>
          <w:lang w:val="en-US"/>
        </w:rPr>
        <w:t xml:space="preserve">Writing) </w:t>
      </w:r>
      <w:r w:rsidRPr="00710E44">
        <w:rPr>
          <w:sz w:val="20"/>
          <w:szCs w:val="20"/>
          <w:lang w:val="en-US"/>
        </w:rPr>
        <w:t>—</w:t>
      </w:r>
      <w:proofErr w:type="gramEnd"/>
      <w:r w:rsidRPr="00710E44">
        <w:rPr>
          <w:sz w:val="20"/>
          <w:szCs w:val="20"/>
          <w:lang w:val="en-US"/>
        </w:rPr>
        <w:t xml:space="preserve"> </w:t>
      </w:r>
      <w:r w:rsidRPr="004F71FC">
        <w:rPr>
          <w:sz w:val="20"/>
          <w:szCs w:val="20"/>
          <w:lang w:val="en-US"/>
        </w:rPr>
        <w:t xml:space="preserve">Students curate 5-7 primary sources around a theme (e.g., labor, migration, public health, protest). </w:t>
      </w:r>
    </w:p>
    <w:p w14:paraId="51484E02" w14:textId="77777777" w:rsidR="00AC2811" w:rsidRPr="004F71FC" w:rsidRDefault="00AC2811" w:rsidP="00AC2811">
      <w:pPr>
        <w:pStyle w:val="NoSpacing"/>
        <w:ind w:left="720"/>
        <w:rPr>
          <w:b/>
          <w:bCs/>
          <w:sz w:val="20"/>
          <w:szCs w:val="20"/>
          <w:lang w:val="en-US"/>
        </w:rPr>
      </w:pPr>
      <w:r w:rsidRPr="004F71FC">
        <w:rPr>
          <w:sz w:val="20"/>
          <w:szCs w:val="20"/>
          <w:lang w:val="en-US"/>
        </w:rPr>
        <w:t>Deliverable: a one-page digital exhibit with museum-style labels (75-100 words each) plus a brief curator’s statement explaining selection criteria and historical context.</w:t>
      </w:r>
    </w:p>
    <w:p w14:paraId="2EB789B0" w14:textId="42914EEA" w:rsidR="00C35978" w:rsidRPr="00710E44" w:rsidRDefault="00C35978" w:rsidP="00F63654">
      <w:pPr>
        <w:pStyle w:val="NoSpacing"/>
        <w:rPr>
          <w:sz w:val="10"/>
          <w:szCs w:val="10"/>
          <w:lang w:val="en-US"/>
        </w:rPr>
      </w:pPr>
    </w:p>
    <w:p w14:paraId="45E2420E" w14:textId="119686F8" w:rsidR="00C35978" w:rsidRDefault="00C35978" w:rsidP="00C35978">
      <w:pPr>
        <w:pStyle w:val="NoSpacing"/>
        <w:rPr>
          <w:b/>
          <w:bCs/>
          <w:sz w:val="20"/>
          <w:szCs w:val="20"/>
          <w:lang w:val="en-US"/>
        </w:rPr>
      </w:pPr>
      <w:r w:rsidRPr="004F71FC">
        <w:rPr>
          <w:b/>
          <w:bCs/>
          <w:sz w:val="20"/>
          <w:szCs w:val="20"/>
          <w:lang w:val="en-US"/>
        </w:rPr>
        <w:t xml:space="preserve">ProQuest Digital Collections </w:t>
      </w:r>
      <w:r w:rsidR="00496E69" w:rsidRPr="004F71FC">
        <w:rPr>
          <w:b/>
          <w:bCs/>
          <w:sz w:val="20"/>
          <w:szCs w:val="20"/>
          <w:lang w:val="en-US"/>
        </w:rPr>
        <w:t xml:space="preserve">offers </w:t>
      </w:r>
      <w:r w:rsidRPr="004F71FC">
        <w:rPr>
          <w:b/>
          <w:bCs/>
          <w:sz w:val="20"/>
          <w:szCs w:val="20"/>
          <w:lang w:val="en-US"/>
        </w:rPr>
        <w:t xml:space="preserve">the following curriculum-aligned resources: </w:t>
      </w:r>
    </w:p>
    <w:p w14:paraId="14ECD0A3" w14:textId="77777777" w:rsidR="00CC3540" w:rsidRDefault="00CC3540" w:rsidP="009A6026">
      <w:pPr>
        <w:pStyle w:val="NoSpacing"/>
        <w:ind w:left="720"/>
        <w:rPr>
          <w:sz w:val="20"/>
          <w:szCs w:val="20"/>
          <w:lang w:val="en-US"/>
        </w:rPr>
        <w:sectPr w:rsidR="00CC3540" w:rsidSect="0014719E">
          <w:headerReference w:type="default" r:id="rId11"/>
          <w:type w:val="continuous"/>
          <w:pgSz w:w="11906" w:h="16838"/>
          <w:pgMar w:top="1440" w:right="1440" w:bottom="1440" w:left="1440" w:header="708" w:footer="708" w:gutter="0"/>
          <w:cols w:space="708"/>
          <w:docGrid w:linePitch="360"/>
        </w:sectPr>
      </w:pPr>
    </w:p>
    <w:p w14:paraId="203650EC" w14:textId="77777777" w:rsidR="009A6026" w:rsidRPr="004F71FC" w:rsidRDefault="009A6026" w:rsidP="00586C23">
      <w:pPr>
        <w:pStyle w:val="NoSpacing"/>
        <w:rPr>
          <w:sz w:val="20"/>
          <w:szCs w:val="20"/>
          <w:lang w:val="en-US"/>
        </w:rPr>
      </w:pPr>
      <w:r w:rsidRPr="004F71FC">
        <w:rPr>
          <w:sz w:val="20"/>
          <w:szCs w:val="20"/>
          <w:lang w:val="en-US"/>
        </w:rPr>
        <w:t>ProQuest One Anthropology</w:t>
      </w:r>
    </w:p>
    <w:p w14:paraId="5ECB3C2F" w14:textId="77777777" w:rsidR="009A6026" w:rsidRPr="004F71FC" w:rsidRDefault="009A6026" w:rsidP="00586C23">
      <w:pPr>
        <w:pStyle w:val="NoSpacing"/>
        <w:rPr>
          <w:sz w:val="20"/>
          <w:szCs w:val="20"/>
          <w:lang w:val="en-US"/>
        </w:rPr>
      </w:pPr>
      <w:r w:rsidRPr="004F71FC">
        <w:rPr>
          <w:sz w:val="20"/>
          <w:szCs w:val="20"/>
          <w:lang w:val="en-US"/>
        </w:rPr>
        <w:t>ProQuest One Black Studies</w:t>
      </w:r>
    </w:p>
    <w:p w14:paraId="35D0B7BC" w14:textId="77777777" w:rsidR="009A6026" w:rsidRPr="004F71FC" w:rsidRDefault="009A6026" w:rsidP="00586C23">
      <w:pPr>
        <w:pStyle w:val="NoSpacing"/>
        <w:rPr>
          <w:sz w:val="20"/>
          <w:szCs w:val="20"/>
          <w:lang w:val="en-US"/>
        </w:rPr>
      </w:pPr>
      <w:r w:rsidRPr="004F71FC">
        <w:rPr>
          <w:sz w:val="20"/>
          <w:szCs w:val="20"/>
          <w:lang w:val="en-US"/>
        </w:rPr>
        <w:t>ProQuest One Entertainment &amp; Popular Culture</w:t>
      </w:r>
    </w:p>
    <w:p w14:paraId="232566EA" w14:textId="77777777" w:rsidR="009A6026" w:rsidRPr="004F71FC" w:rsidRDefault="009A6026" w:rsidP="00586C23">
      <w:pPr>
        <w:pStyle w:val="NoSpacing"/>
        <w:rPr>
          <w:sz w:val="20"/>
          <w:szCs w:val="20"/>
          <w:lang w:val="en-US"/>
        </w:rPr>
      </w:pPr>
      <w:r w:rsidRPr="004F71FC">
        <w:rPr>
          <w:sz w:val="20"/>
          <w:szCs w:val="20"/>
          <w:lang w:val="en-US"/>
        </w:rPr>
        <w:t>ProQuest One Global Studies &amp; International Relations</w:t>
      </w:r>
    </w:p>
    <w:p w14:paraId="6CE9DAA6" w14:textId="77777777" w:rsidR="009A6026" w:rsidRPr="004F71FC" w:rsidRDefault="009A6026" w:rsidP="00586C23">
      <w:pPr>
        <w:pStyle w:val="NoSpacing"/>
        <w:rPr>
          <w:sz w:val="20"/>
          <w:szCs w:val="20"/>
          <w:lang w:val="en-US"/>
        </w:rPr>
      </w:pPr>
      <w:r w:rsidRPr="004F71FC">
        <w:rPr>
          <w:sz w:val="20"/>
          <w:szCs w:val="20"/>
          <w:lang w:val="en-US"/>
        </w:rPr>
        <w:t>ProQuest One History</w:t>
      </w:r>
    </w:p>
    <w:p w14:paraId="6276029F" w14:textId="77777777" w:rsidR="009A6026" w:rsidRPr="004F71FC" w:rsidRDefault="009A6026" w:rsidP="00586C23">
      <w:pPr>
        <w:pStyle w:val="NoSpacing"/>
        <w:rPr>
          <w:sz w:val="20"/>
          <w:szCs w:val="20"/>
          <w:lang w:val="en-US"/>
        </w:rPr>
      </w:pPr>
      <w:r w:rsidRPr="004F71FC">
        <w:rPr>
          <w:sz w:val="20"/>
          <w:szCs w:val="20"/>
          <w:lang w:val="en-US"/>
        </w:rPr>
        <w:t>ProQuest One Literature</w:t>
      </w:r>
    </w:p>
    <w:p w14:paraId="644F7263" w14:textId="77777777" w:rsidR="009A6026" w:rsidRPr="004F71FC" w:rsidRDefault="009A6026" w:rsidP="00586C23">
      <w:pPr>
        <w:pStyle w:val="NoSpacing"/>
        <w:rPr>
          <w:sz w:val="20"/>
          <w:szCs w:val="20"/>
          <w:lang w:val="en-US"/>
        </w:rPr>
      </w:pPr>
      <w:r w:rsidRPr="004F71FC">
        <w:rPr>
          <w:sz w:val="20"/>
          <w:szCs w:val="20"/>
          <w:lang w:val="en-US"/>
        </w:rPr>
        <w:t>ProQuest One Performing Arts</w:t>
      </w:r>
    </w:p>
    <w:p w14:paraId="56E43DFE" w14:textId="77777777" w:rsidR="009A6026" w:rsidRPr="004F71FC" w:rsidRDefault="009A6026" w:rsidP="00586C23">
      <w:pPr>
        <w:pStyle w:val="NoSpacing"/>
        <w:rPr>
          <w:sz w:val="20"/>
          <w:szCs w:val="20"/>
          <w:lang w:val="en-US"/>
        </w:rPr>
      </w:pPr>
      <w:r w:rsidRPr="004F71FC">
        <w:rPr>
          <w:sz w:val="20"/>
          <w:szCs w:val="20"/>
          <w:lang w:val="en-US"/>
        </w:rPr>
        <w:t>ProQuest One Visual Arts &amp; Design</w:t>
      </w:r>
    </w:p>
    <w:p w14:paraId="0D2B270C" w14:textId="77777777" w:rsidR="009A6026" w:rsidRPr="004F71FC" w:rsidRDefault="009A6026" w:rsidP="00586C23">
      <w:pPr>
        <w:pStyle w:val="NoSpacing"/>
        <w:rPr>
          <w:sz w:val="20"/>
          <w:szCs w:val="20"/>
          <w:lang w:val="en-US"/>
        </w:rPr>
      </w:pPr>
      <w:r w:rsidRPr="004F71FC">
        <w:rPr>
          <w:sz w:val="20"/>
          <w:szCs w:val="20"/>
          <w:lang w:val="en-US"/>
        </w:rPr>
        <w:t>ProQuest One Women’s Studies</w:t>
      </w:r>
    </w:p>
    <w:p w14:paraId="5C0CC871" w14:textId="77777777" w:rsidR="00CC3540" w:rsidRDefault="00CC3540" w:rsidP="00C35978">
      <w:pPr>
        <w:pStyle w:val="NoSpacing"/>
        <w:rPr>
          <w:b/>
          <w:bCs/>
          <w:sz w:val="20"/>
          <w:szCs w:val="20"/>
          <w:lang w:val="en-US"/>
        </w:rPr>
        <w:sectPr w:rsidR="00CC3540" w:rsidSect="00586C23">
          <w:type w:val="continuous"/>
          <w:pgSz w:w="11906" w:h="16838"/>
          <w:pgMar w:top="1440" w:right="1440" w:bottom="1440" w:left="1440" w:header="708" w:footer="708" w:gutter="0"/>
          <w:cols w:num="2" w:space="98" w:equalWidth="0">
            <w:col w:w="5328" w:space="98"/>
            <w:col w:w="3600"/>
          </w:cols>
          <w:docGrid w:linePitch="360"/>
        </w:sectPr>
      </w:pPr>
    </w:p>
    <w:p w14:paraId="72260ABA" w14:textId="77777777" w:rsidR="00896FA6" w:rsidRPr="005E4C29" w:rsidRDefault="00896FA6" w:rsidP="00C35978">
      <w:pPr>
        <w:pStyle w:val="NoSpacing"/>
        <w:rPr>
          <w:b/>
          <w:bCs/>
          <w:sz w:val="4"/>
          <w:szCs w:val="4"/>
          <w:lang w:val="en-US"/>
        </w:rPr>
      </w:pPr>
    </w:p>
    <w:p w14:paraId="4332FA80" w14:textId="77777777" w:rsidR="00935C52" w:rsidRDefault="00935C52" w:rsidP="00935C52">
      <w:pPr>
        <w:pStyle w:val="NoSpacing"/>
        <w:rPr>
          <w:b/>
          <w:bCs/>
          <w:sz w:val="4"/>
          <w:szCs w:val="4"/>
          <w:lang w:val="en-US"/>
        </w:rPr>
      </w:pPr>
    </w:p>
    <w:p w14:paraId="4A64FC1C" w14:textId="77777777" w:rsidR="00896FA6" w:rsidRDefault="00896FA6" w:rsidP="00935C52">
      <w:pPr>
        <w:pStyle w:val="NoSpacing"/>
        <w:rPr>
          <w:b/>
          <w:bCs/>
          <w:sz w:val="4"/>
          <w:szCs w:val="4"/>
          <w:lang w:val="en-US"/>
        </w:rPr>
      </w:pPr>
    </w:p>
    <w:p w14:paraId="4A6A903F" w14:textId="1834F8A1" w:rsidR="0096388B" w:rsidRPr="004F71FC" w:rsidRDefault="001E0845" w:rsidP="00935C52">
      <w:pPr>
        <w:pStyle w:val="NoSpacing"/>
      </w:pPr>
      <w:r w:rsidRPr="004F71FC">
        <w:rPr>
          <w:b/>
          <w:bCs/>
          <w:sz w:val="20"/>
          <w:szCs w:val="20"/>
          <w:lang w:val="en-US"/>
        </w:rPr>
        <w:t>What’s new:</w:t>
      </w:r>
      <w:r w:rsidRPr="004F71FC">
        <w:rPr>
          <w:sz w:val="20"/>
          <w:szCs w:val="20"/>
          <w:lang w:val="en-US"/>
        </w:rPr>
        <w:t xml:space="preserve"> Explore</w:t>
      </w:r>
      <w:r w:rsidR="00AD306C" w:rsidRPr="004F71FC">
        <w:rPr>
          <w:sz w:val="20"/>
          <w:szCs w:val="20"/>
          <w:lang w:val="en-US"/>
        </w:rPr>
        <w:t xml:space="preserve"> and share</w:t>
      </w:r>
      <w:r w:rsidRPr="004F71FC">
        <w:rPr>
          <w:sz w:val="20"/>
          <w:szCs w:val="20"/>
          <w:lang w:val="en-US"/>
        </w:rPr>
        <w:t xml:space="preserve"> newly added content and updates </w:t>
      </w:r>
      <w:r w:rsidR="00C64606" w:rsidRPr="004F71FC">
        <w:rPr>
          <w:sz w:val="20"/>
          <w:szCs w:val="20"/>
          <w:lang w:val="en-US"/>
        </w:rPr>
        <w:t>from</w:t>
      </w:r>
      <w:r w:rsidRPr="004F71FC">
        <w:rPr>
          <w:sz w:val="20"/>
          <w:szCs w:val="20"/>
          <w:lang w:val="en-US"/>
        </w:rPr>
        <w:t xml:space="preserve"> the What’s New page, updated </w:t>
      </w:r>
      <w:r w:rsidR="00F77D0E" w:rsidRPr="004F71FC">
        <w:rPr>
          <w:sz w:val="20"/>
          <w:szCs w:val="20"/>
          <w:lang w:val="en-US"/>
        </w:rPr>
        <w:t>regularly</w:t>
      </w:r>
      <w:r w:rsidRPr="004F71FC">
        <w:rPr>
          <w:sz w:val="20"/>
          <w:szCs w:val="20"/>
          <w:lang w:val="en-US"/>
        </w:rPr>
        <w:t xml:space="preserve">. </w:t>
      </w:r>
      <w:hyperlink r:id="rId12" w:history="1">
        <w:r w:rsidRPr="004F71FC">
          <w:rPr>
            <w:rStyle w:val="Hyperlink"/>
            <w:sz w:val="20"/>
            <w:szCs w:val="20"/>
            <w:lang w:val="en-US"/>
          </w:rPr>
          <w:t>https://support.proquest.com/s/article/What-s-New-ProQuest-Digital-Collections?language=en_US</w:t>
        </w:r>
      </w:hyperlink>
    </w:p>
    <w:p w14:paraId="275D2E65" w14:textId="77777777" w:rsidR="004F5A2C" w:rsidRPr="00710E44" w:rsidRDefault="004F5A2C" w:rsidP="004F5A2C">
      <w:pPr>
        <w:pStyle w:val="NoSpacing"/>
        <w:rPr>
          <w:sz w:val="10"/>
          <w:szCs w:val="10"/>
          <w:lang w:val="en-US"/>
        </w:rPr>
      </w:pPr>
    </w:p>
    <w:p w14:paraId="51D4D53D" w14:textId="1337457A" w:rsidR="002F2EFB" w:rsidRPr="004F71FC" w:rsidRDefault="002F2EFB" w:rsidP="00D706DA">
      <w:pPr>
        <w:pStyle w:val="NoSpacing"/>
        <w:rPr>
          <w:b/>
          <w:bCs/>
          <w:sz w:val="20"/>
          <w:szCs w:val="20"/>
          <w:lang w:val="en-US"/>
        </w:rPr>
      </w:pPr>
      <w:r w:rsidRPr="004F71FC">
        <w:rPr>
          <w:b/>
          <w:bCs/>
          <w:sz w:val="20"/>
          <w:szCs w:val="20"/>
          <w:lang w:val="en-US"/>
        </w:rPr>
        <w:t xml:space="preserve">Access &amp; </w:t>
      </w:r>
      <w:r w:rsidR="00D706DA" w:rsidRPr="004F71FC">
        <w:rPr>
          <w:b/>
          <w:bCs/>
          <w:sz w:val="20"/>
          <w:szCs w:val="20"/>
          <w:lang w:val="en-US"/>
        </w:rPr>
        <w:t>p</w:t>
      </w:r>
      <w:r w:rsidRPr="004F71FC">
        <w:rPr>
          <w:b/>
          <w:bCs/>
          <w:sz w:val="20"/>
          <w:szCs w:val="20"/>
          <w:lang w:val="en-US"/>
        </w:rPr>
        <w:t xml:space="preserve">roduct </w:t>
      </w:r>
      <w:r w:rsidR="00D706DA" w:rsidRPr="004F71FC">
        <w:rPr>
          <w:b/>
          <w:bCs/>
          <w:sz w:val="20"/>
          <w:szCs w:val="20"/>
          <w:lang w:val="en-US"/>
        </w:rPr>
        <w:t>i</w:t>
      </w:r>
      <w:r w:rsidRPr="004F71FC">
        <w:rPr>
          <w:b/>
          <w:bCs/>
          <w:sz w:val="20"/>
          <w:szCs w:val="20"/>
          <w:lang w:val="en-US"/>
        </w:rPr>
        <w:t>nformation</w:t>
      </w:r>
    </w:p>
    <w:p w14:paraId="79F054FF" w14:textId="3A859C1F" w:rsidR="00E87AC5" w:rsidRPr="000C349E" w:rsidRDefault="001A7369" w:rsidP="00314C47">
      <w:pPr>
        <w:pStyle w:val="ListParagraph"/>
        <w:numPr>
          <w:ilvl w:val="0"/>
          <w:numId w:val="22"/>
        </w:numPr>
        <w:spacing w:after="0" w:line="257" w:lineRule="auto"/>
        <w:rPr>
          <w:rFonts w:eastAsia="Avenir Next LT Pro" w:cs="Avenir Next LT Pro"/>
          <w:sz w:val="19"/>
          <w:szCs w:val="19"/>
        </w:rPr>
      </w:pPr>
      <w:r w:rsidRPr="000C349E">
        <w:rPr>
          <w:rFonts w:eastAsia="Avenir Next LT Pro" w:cs="Avenir Next LT Pro"/>
          <w:b/>
          <w:bCs/>
          <w:sz w:val="19"/>
          <w:szCs w:val="19"/>
        </w:rPr>
        <w:t>Product Access URL:</w:t>
      </w:r>
      <w:r w:rsidRPr="000C349E">
        <w:rPr>
          <w:rFonts w:eastAsia="Avenir Next LT Pro" w:cs="Avenir Next LT Pro"/>
          <w:sz w:val="19"/>
          <w:szCs w:val="19"/>
        </w:rPr>
        <w:t xml:space="preserve"> </w:t>
      </w:r>
      <w:hyperlink r:id="rId13" w:history="1">
        <w:r w:rsidR="00E87AC5" w:rsidRPr="000C349E">
          <w:rPr>
            <w:rStyle w:val="Hyperlink"/>
            <w:rFonts w:eastAsia="Avenir Next LT Pro" w:cs="Avenir Next LT Pro"/>
            <w:sz w:val="19"/>
            <w:szCs w:val="19"/>
          </w:rPr>
          <w:t>https://www.proquest.com/digitalcollections</w:t>
        </w:r>
      </w:hyperlink>
    </w:p>
    <w:p w14:paraId="37DF4614" w14:textId="6CE7990E" w:rsidR="001A7369" w:rsidRPr="000C349E" w:rsidRDefault="001A7369" w:rsidP="00314C47">
      <w:pPr>
        <w:pStyle w:val="ListParagraph"/>
        <w:numPr>
          <w:ilvl w:val="0"/>
          <w:numId w:val="21"/>
        </w:numPr>
        <w:spacing w:after="0" w:line="257" w:lineRule="auto"/>
        <w:rPr>
          <w:rFonts w:eastAsia="Avenir Next LT Pro" w:cs="Avenir Next LT Pro"/>
          <w:sz w:val="19"/>
          <w:szCs w:val="19"/>
        </w:rPr>
      </w:pPr>
      <w:r w:rsidRPr="000C349E">
        <w:rPr>
          <w:rFonts w:eastAsia="Avenir Next LT Pro" w:cs="Avenir Next LT Pro"/>
          <w:b/>
          <w:bCs/>
          <w:sz w:val="19"/>
          <w:szCs w:val="19"/>
        </w:rPr>
        <w:t>Marketing Page:</w:t>
      </w:r>
      <w:r w:rsidRPr="000C349E">
        <w:rPr>
          <w:rFonts w:eastAsia="Avenir Next LT Pro" w:cs="Avenir Next LT Pro"/>
          <w:sz w:val="19"/>
          <w:szCs w:val="19"/>
        </w:rPr>
        <w:t xml:space="preserve">  </w:t>
      </w:r>
      <w:hyperlink r:id="rId14" w:history="1">
        <w:r w:rsidR="00E87AC5" w:rsidRPr="000C349E">
          <w:rPr>
            <w:rStyle w:val="Hyperlink"/>
            <w:rFonts w:eastAsia="Avenir Next LT Pro" w:cs="Avenir Next LT Pro"/>
            <w:sz w:val="19"/>
            <w:szCs w:val="19"/>
          </w:rPr>
          <w:t>https://about.proquest.com/en/products-services/proquest-digital-collections/</w:t>
        </w:r>
      </w:hyperlink>
    </w:p>
    <w:p w14:paraId="0B903C05" w14:textId="5647A295" w:rsidR="001A7369" w:rsidRPr="000C349E" w:rsidRDefault="001A7369" w:rsidP="00314C47">
      <w:pPr>
        <w:pStyle w:val="ListParagraph"/>
        <w:numPr>
          <w:ilvl w:val="0"/>
          <w:numId w:val="21"/>
        </w:numPr>
        <w:spacing w:after="0" w:line="257" w:lineRule="auto"/>
        <w:rPr>
          <w:rFonts w:eastAsia="Avenir Next LT Pro" w:cs="Avenir Next LT Pro"/>
          <w:sz w:val="19"/>
          <w:szCs w:val="19"/>
        </w:rPr>
      </w:pPr>
      <w:r w:rsidRPr="000C349E">
        <w:rPr>
          <w:rFonts w:eastAsia="Avenir Next LT Pro" w:cs="Avenir Next LT Pro"/>
          <w:b/>
          <w:bCs/>
          <w:sz w:val="19"/>
          <w:szCs w:val="19"/>
        </w:rPr>
        <w:t>Brochure:</w:t>
      </w:r>
      <w:r w:rsidRPr="000C349E">
        <w:rPr>
          <w:rFonts w:eastAsia="Avenir Next LT Pro" w:cs="Avenir Next LT Pro"/>
          <w:sz w:val="19"/>
          <w:szCs w:val="19"/>
        </w:rPr>
        <w:t xml:space="preserve"> </w:t>
      </w:r>
      <w:hyperlink r:id="rId15" w:history="1">
        <w:r w:rsidR="00E87AC5" w:rsidRPr="000C349E">
          <w:rPr>
            <w:rStyle w:val="Hyperlink"/>
            <w:rFonts w:eastAsia="Avenir Next LT Pro" w:cs="Avenir Next LT Pro"/>
            <w:sz w:val="19"/>
            <w:szCs w:val="19"/>
          </w:rPr>
          <w:t>https://pq-static-content.proquest.com/collateral/media2/documents/brochure-proquest-digitalcollections.pdf</w:t>
        </w:r>
      </w:hyperlink>
    </w:p>
    <w:p w14:paraId="358CBC76" w14:textId="2CED8E8C" w:rsidR="004C2870" w:rsidRPr="000C349E" w:rsidRDefault="001A7369" w:rsidP="000B7402">
      <w:pPr>
        <w:pStyle w:val="ListParagraph"/>
        <w:numPr>
          <w:ilvl w:val="0"/>
          <w:numId w:val="21"/>
        </w:numPr>
        <w:spacing w:after="0" w:line="257" w:lineRule="auto"/>
        <w:rPr>
          <w:rFonts w:eastAsia="Avenir Next LT Pro" w:cs="Avenir Next LT Pro"/>
          <w:sz w:val="19"/>
          <w:szCs w:val="19"/>
        </w:rPr>
      </w:pPr>
      <w:proofErr w:type="spellStart"/>
      <w:r w:rsidRPr="000C349E">
        <w:rPr>
          <w:rFonts w:eastAsia="Avenir Next LT Pro" w:cs="Avenir Next LT Pro"/>
          <w:b/>
          <w:bCs/>
          <w:sz w:val="19"/>
          <w:szCs w:val="19"/>
          <w:lang w:val="en-US"/>
        </w:rPr>
        <w:t>LibGuide</w:t>
      </w:r>
      <w:proofErr w:type="spellEnd"/>
      <w:r w:rsidRPr="000C349E">
        <w:rPr>
          <w:rFonts w:eastAsia="Avenir Next LT Pro" w:cs="Avenir Next LT Pro"/>
          <w:b/>
          <w:bCs/>
          <w:sz w:val="19"/>
          <w:szCs w:val="19"/>
          <w:lang w:val="en-US"/>
        </w:rPr>
        <w:t xml:space="preserve"> Page: </w:t>
      </w:r>
      <w:hyperlink r:id="rId16" w:history="1">
        <w:r w:rsidR="00F72A8E" w:rsidRPr="000C349E">
          <w:rPr>
            <w:rStyle w:val="Hyperlink"/>
            <w:rFonts w:eastAsia="Avenir Next LT Pro" w:cs="Avenir Next LT Pro"/>
            <w:sz w:val="19"/>
            <w:szCs w:val="19"/>
            <w:lang w:val="en-US"/>
          </w:rPr>
          <w:t>https://proquest.libguides.com/PQDigitalCollections</w:t>
        </w:r>
      </w:hyperlink>
    </w:p>
    <w:sectPr w:rsidR="004C2870" w:rsidRPr="000C349E"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547B" w14:textId="77777777" w:rsidR="00084CE7" w:rsidRDefault="00084CE7" w:rsidP="004C2870">
      <w:pPr>
        <w:spacing w:after="0" w:line="240" w:lineRule="auto"/>
      </w:pPr>
      <w:r>
        <w:separator/>
      </w:r>
    </w:p>
  </w:endnote>
  <w:endnote w:type="continuationSeparator" w:id="0">
    <w:p w14:paraId="7FC3A705" w14:textId="77777777" w:rsidR="00084CE7" w:rsidRDefault="00084CE7"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altName w:val="Calibr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2569" w14:textId="77777777" w:rsidR="00084CE7" w:rsidRDefault="00084CE7" w:rsidP="004C2870">
      <w:pPr>
        <w:spacing w:after="0" w:line="240" w:lineRule="auto"/>
      </w:pPr>
      <w:r>
        <w:separator/>
      </w:r>
    </w:p>
  </w:footnote>
  <w:footnote w:type="continuationSeparator" w:id="0">
    <w:p w14:paraId="1FA0769B" w14:textId="77777777" w:rsidR="00084CE7" w:rsidRDefault="00084CE7"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49417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653"/>
    <w:multiLevelType w:val="multilevel"/>
    <w:tmpl w:val="55DC2BC4"/>
    <w:numStyleLink w:val="ListBullets"/>
  </w:abstractNum>
  <w:abstractNum w:abstractNumId="24"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6"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E370E"/>
    <w:multiLevelType w:val="hybridMultilevel"/>
    <w:tmpl w:val="24CE56B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440A6C"/>
    <w:multiLevelType w:val="multilevel"/>
    <w:tmpl w:val="36DAA1FC"/>
    <w:numStyleLink w:val="ListQuestion"/>
  </w:abstractNum>
  <w:abstractNum w:abstractNumId="48"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2" w15:restartNumberingAfterBreak="0">
    <w:nsid w:val="728707F3"/>
    <w:multiLevelType w:val="multilevel"/>
    <w:tmpl w:val="EA8C9634"/>
    <w:numStyleLink w:val="ListNumbers"/>
  </w:abstractNum>
  <w:abstractNum w:abstractNumId="53"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5"/>
  </w:num>
  <w:num w:numId="4" w16cid:durableId="297803613">
    <w:abstractNumId w:val="47"/>
  </w:num>
  <w:num w:numId="5" w16cid:durableId="374426479">
    <w:abstractNumId w:val="23"/>
  </w:num>
  <w:num w:numId="6" w16cid:durableId="8413942">
    <w:abstractNumId w:val="52"/>
  </w:num>
  <w:num w:numId="7" w16cid:durableId="738136064">
    <w:abstractNumId w:val="56"/>
  </w:num>
  <w:num w:numId="8" w16cid:durableId="710347687">
    <w:abstractNumId w:val="25"/>
  </w:num>
  <w:num w:numId="9" w16cid:durableId="1212770631">
    <w:abstractNumId w:val="5"/>
  </w:num>
  <w:num w:numId="10" w16cid:durableId="1735006662">
    <w:abstractNumId w:val="49"/>
  </w:num>
  <w:num w:numId="11" w16cid:durableId="2041709538">
    <w:abstractNumId w:val="20"/>
  </w:num>
  <w:num w:numId="12" w16cid:durableId="1390962405">
    <w:abstractNumId w:val="28"/>
  </w:num>
  <w:num w:numId="13" w16cid:durableId="330530676">
    <w:abstractNumId w:val="34"/>
  </w:num>
  <w:num w:numId="14" w16cid:durableId="813450015">
    <w:abstractNumId w:val="16"/>
  </w:num>
  <w:num w:numId="15" w16cid:durableId="1164126606">
    <w:abstractNumId w:val="48"/>
  </w:num>
  <w:num w:numId="16" w16cid:durableId="197164657">
    <w:abstractNumId w:val="7"/>
  </w:num>
  <w:num w:numId="17" w16cid:durableId="1951089306">
    <w:abstractNumId w:val="27"/>
  </w:num>
  <w:num w:numId="18" w16cid:durableId="171114674">
    <w:abstractNumId w:val="33"/>
  </w:num>
  <w:num w:numId="19" w16cid:durableId="2043049374">
    <w:abstractNumId w:val="4"/>
  </w:num>
  <w:num w:numId="20" w16cid:durableId="1355380481">
    <w:abstractNumId w:val="13"/>
  </w:num>
  <w:num w:numId="21" w16cid:durableId="1541089275">
    <w:abstractNumId w:val="51"/>
  </w:num>
  <w:num w:numId="22" w16cid:durableId="415447372">
    <w:abstractNumId w:val="45"/>
  </w:num>
  <w:num w:numId="23" w16cid:durableId="1317300633">
    <w:abstractNumId w:val="41"/>
  </w:num>
  <w:num w:numId="24" w16cid:durableId="1673218069">
    <w:abstractNumId w:val="1"/>
  </w:num>
  <w:num w:numId="25" w16cid:durableId="1828470608">
    <w:abstractNumId w:val="15"/>
  </w:num>
  <w:num w:numId="26" w16cid:durableId="1615095370">
    <w:abstractNumId w:val="44"/>
  </w:num>
  <w:num w:numId="27" w16cid:durableId="1487168920">
    <w:abstractNumId w:val="19"/>
  </w:num>
  <w:num w:numId="28" w16cid:durableId="523254263">
    <w:abstractNumId w:val="58"/>
  </w:num>
  <w:num w:numId="29" w16cid:durableId="1831141485">
    <w:abstractNumId w:val="2"/>
  </w:num>
  <w:num w:numId="30" w16cid:durableId="242419444">
    <w:abstractNumId w:val="46"/>
  </w:num>
  <w:num w:numId="31" w16cid:durableId="1765760902">
    <w:abstractNumId w:val="42"/>
  </w:num>
  <w:num w:numId="32" w16cid:durableId="1527013967">
    <w:abstractNumId w:val="21"/>
  </w:num>
  <w:num w:numId="33" w16cid:durableId="1806313423">
    <w:abstractNumId w:val="40"/>
  </w:num>
  <w:num w:numId="34" w16cid:durableId="793988890">
    <w:abstractNumId w:val="38"/>
  </w:num>
  <w:num w:numId="35" w16cid:durableId="2044133436">
    <w:abstractNumId w:val="10"/>
  </w:num>
  <w:num w:numId="36" w16cid:durableId="1541551972">
    <w:abstractNumId w:val="18"/>
  </w:num>
  <w:num w:numId="37" w16cid:durableId="1098674074">
    <w:abstractNumId w:val="24"/>
  </w:num>
  <w:num w:numId="38" w16cid:durableId="1532843528">
    <w:abstractNumId w:val="17"/>
  </w:num>
  <w:num w:numId="39" w16cid:durableId="79643593">
    <w:abstractNumId w:val="26"/>
  </w:num>
  <w:num w:numId="40" w16cid:durableId="834958114">
    <w:abstractNumId w:val="12"/>
  </w:num>
  <w:num w:numId="41" w16cid:durableId="1992785915">
    <w:abstractNumId w:val="6"/>
  </w:num>
  <w:num w:numId="42" w16cid:durableId="1769109779">
    <w:abstractNumId w:val="11"/>
  </w:num>
  <w:num w:numId="43" w16cid:durableId="415055360">
    <w:abstractNumId w:val="30"/>
  </w:num>
  <w:num w:numId="44" w16cid:durableId="286551009">
    <w:abstractNumId w:val="32"/>
  </w:num>
  <w:num w:numId="45" w16cid:durableId="529956464">
    <w:abstractNumId w:val="37"/>
  </w:num>
  <w:num w:numId="46" w16cid:durableId="1824277470">
    <w:abstractNumId w:val="31"/>
  </w:num>
  <w:num w:numId="47" w16cid:durableId="1830251890">
    <w:abstractNumId w:val="55"/>
  </w:num>
  <w:num w:numId="48" w16cid:durableId="367266890">
    <w:abstractNumId w:val="22"/>
  </w:num>
  <w:num w:numId="49" w16cid:durableId="576936171">
    <w:abstractNumId w:val="57"/>
  </w:num>
  <w:num w:numId="50" w16cid:durableId="109010883">
    <w:abstractNumId w:val="3"/>
  </w:num>
  <w:num w:numId="51" w16cid:durableId="2067946147">
    <w:abstractNumId w:val="50"/>
  </w:num>
  <w:num w:numId="52" w16cid:durableId="81219496">
    <w:abstractNumId w:val="14"/>
  </w:num>
  <w:num w:numId="53" w16cid:durableId="881208731">
    <w:abstractNumId w:val="29"/>
  </w:num>
  <w:num w:numId="54" w16cid:durableId="1485387582">
    <w:abstractNumId w:val="54"/>
  </w:num>
  <w:num w:numId="55" w16cid:durableId="37895374">
    <w:abstractNumId w:val="53"/>
  </w:num>
  <w:num w:numId="56" w16cid:durableId="2109041186">
    <w:abstractNumId w:val="43"/>
  </w:num>
  <w:num w:numId="57" w16cid:durableId="1160004057">
    <w:abstractNumId w:val="36"/>
  </w:num>
  <w:num w:numId="58" w16cid:durableId="793476381">
    <w:abstractNumId w:val="9"/>
  </w:num>
  <w:num w:numId="59" w16cid:durableId="153765297">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4CE7"/>
    <w:rsid w:val="00085102"/>
    <w:rsid w:val="0009065D"/>
    <w:rsid w:val="00091C7E"/>
    <w:rsid w:val="00094AD2"/>
    <w:rsid w:val="000A1DD1"/>
    <w:rsid w:val="000B01AB"/>
    <w:rsid w:val="000B5694"/>
    <w:rsid w:val="000B5AED"/>
    <w:rsid w:val="000B7402"/>
    <w:rsid w:val="000C0166"/>
    <w:rsid w:val="000C349E"/>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2A6F"/>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5CD0"/>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663E"/>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6C23"/>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456C"/>
    <w:rsid w:val="005D5B09"/>
    <w:rsid w:val="005D678E"/>
    <w:rsid w:val="005D784F"/>
    <w:rsid w:val="005D7A23"/>
    <w:rsid w:val="005E1F59"/>
    <w:rsid w:val="005E4C2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96FA6"/>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5C52"/>
    <w:rsid w:val="00937295"/>
    <w:rsid w:val="0094384E"/>
    <w:rsid w:val="009450FF"/>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6026"/>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47BB4"/>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3EA"/>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D4D89"/>
    <w:rsid w:val="00BE172D"/>
    <w:rsid w:val="00BE1884"/>
    <w:rsid w:val="00BF0A32"/>
    <w:rsid w:val="00BF2326"/>
    <w:rsid w:val="00BF2DA6"/>
    <w:rsid w:val="00BF2F3E"/>
    <w:rsid w:val="00BF69A5"/>
    <w:rsid w:val="00BF7862"/>
    <w:rsid w:val="00BF7AA4"/>
    <w:rsid w:val="00C0249D"/>
    <w:rsid w:val="00C04FA2"/>
    <w:rsid w:val="00C076F2"/>
    <w:rsid w:val="00C11A97"/>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3540"/>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564D"/>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1130"/>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C899E67"/>
    <w:rsid w:val="0E0C38EE"/>
    <w:rsid w:val="0E9CDE6F"/>
    <w:rsid w:val="0FD65123"/>
    <w:rsid w:val="10EE484F"/>
    <w:rsid w:val="11731352"/>
    <w:rsid w:val="155DAA80"/>
    <w:rsid w:val="159DF462"/>
    <w:rsid w:val="171FC2B3"/>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4B2E8DF"/>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10B5020"/>
    <w:rsid w:val="639AF4BC"/>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digitalcol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pport.proquest.com/s/article/What-s-New-ProQuest-Digital-Collections?language=en_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quest.libguides.com/PQDigitalColle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q-static-content.proquest.com/collateral/media2/documents/brochure-proquest-digitalcollection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proquest.com/en/products-services/proquest-digital-colle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Props1.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AB3281B9-26DD-491B-AACF-73E52CC5E7E8}">
  <ds:schemaRefs>
    <ds:schemaRef ds:uri="http://schemas.microsoft.com/office/2006/metadata/properties"/>
    <ds:schemaRef ds:uri="http://schemas.microsoft.com/office/infopath/2007/PartnerControls"/>
    <ds:schemaRef ds:uri="9a5be674-c785-40c3-96f6-e155fda03ff2"/>
    <ds:schemaRef ds:uri="fab3fa0d-8297-47c3-9080-8dc781061e67"/>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446</Words>
  <Characters>3230</Characters>
  <Application>Microsoft Office Word</Application>
  <DocSecurity>0</DocSecurity>
  <Lines>115</Lines>
  <Paragraphs>64</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16</cp:revision>
  <dcterms:created xsi:type="dcterms:W3CDTF">2026-04-09T18:23:00Z</dcterms:created>
  <dcterms:modified xsi:type="dcterms:W3CDTF">2026-04-09T19:21:00Z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