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A80E" w14:textId="2CACF7B2" w:rsidR="002361C8" w:rsidRPr="004F71FC" w:rsidRDefault="002361C8" w:rsidP="001F1F9E">
      <w:pPr>
        <w:pStyle w:val="NoSpacing"/>
        <w:numPr>
          <w:ilvl w:val="0"/>
          <w:numId w:val="48"/>
        </w:numPr>
        <w:rPr>
          <w:sz w:val="20"/>
          <w:szCs w:val="20"/>
          <w:lang w:val="en-US"/>
        </w:rPr>
      </w:pPr>
      <w:r>
        <w:rPr>
          <w:sz w:val="20"/>
          <w:szCs w:val="20"/>
          <w:lang w:val="en-US"/>
        </w:rPr>
        <w:t>P</w:t>
      </w:r>
      <w:r w:rsidRPr="004F71FC">
        <w:rPr>
          <w:sz w:val="20"/>
          <w:szCs w:val="20"/>
          <w:lang w:val="en-US"/>
        </w:rPr>
        <w:t xml:space="preserve">rimary sources </w:t>
      </w:r>
      <w:r>
        <w:rPr>
          <w:sz w:val="20"/>
          <w:szCs w:val="20"/>
          <w:lang w:val="en-US"/>
        </w:rPr>
        <w:t>focused on global issues</w:t>
      </w:r>
    </w:p>
    <w:p w14:paraId="3EA43DF4" w14:textId="77777777" w:rsidR="002361C8" w:rsidRDefault="002361C8" w:rsidP="002361C8">
      <w:pPr>
        <w:pStyle w:val="NoSpacing"/>
        <w:numPr>
          <w:ilvl w:val="0"/>
          <w:numId w:val="48"/>
        </w:numPr>
        <w:rPr>
          <w:sz w:val="20"/>
          <w:szCs w:val="20"/>
          <w:lang w:val="en-US"/>
        </w:rPr>
      </w:pPr>
      <w:r w:rsidRPr="004F71FC">
        <w:rPr>
          <w:sz w:val="20"/>
          <w:szCs w:val="20"/>
          <w:lang w:val="en-US"/>
        </w:rPr>
        <w:t>Teach diplomacy with archival documents</w:t>
      </w:r>
    </w:p>
    <w:p w14:paraId="074B44AE" w14:textId="20036E1E" w:rsidR="002361C8" w:rsidRDefault="002361C8" w:rsidP="002361C8">
      <w:pPr>
        <w:pStyle w:val="NoSpacing"/>
        <w:numPr>
          <w:ilvl w:val="0"/>
          <w:numId w:val="48"/>
        </w:numPr>
        <w:rPr>
          <w:sz w:val="20"/>
          <w:szCs w:val="20"/>
          <w:lang w:val="en-US"/>
        </w:rPr>
      </w:pPr>
      <w:r w:rsidRPr="002361C8">
        <w:rPr>
          <w:sz w:val="20"/>
          <w:szCs w:val="20"/>
          <w:lang w:val="en-US"/>
        </w:rPr>
        <w:t>Research migration, security, and policy</w:t>
      </w:r>
    </w:p>
    <w:p w14:paraId="108B6515" w14:textId="77777777" w:rsidR="001F1F9E" w:rsidRPr="001F1F9E" w:rsidRDefault="001F1F9E" w:rsidP="001F1F9E">
      <w:pPr>
        <w:pStyle w:val="NoSpacing"/>
        <w:rPr>
          <w:sz w:val="10"/>
          <w:szCs w:val="10"/>
          <w:lang w:val="en-US"/>
        </w:rPr>
      </w:pPr>
    </w:p>
    <w:p w14:paraId="437A0641" w14:textId="77777777" w:rsidR="002361C8" w:rsidRPr="002361C8" w:rsidRDefault="002361C8" w:rsidP="002361C8">
      <w:pPr>
        <w:pStyle w:val="NoSpacing"/>
        <w:pBdr>
          <w:bottom w:val="single" w:sz="4" w:space="1" w:color="auto"/>
        </w:pBdr>
        <w:rPr>
          <w:sz w:val="10"/>
          <w:szCs w:val="10"/>
          <w:lang w:val="en-US"/>
        </w:rPr>
      </w:pPr>
    </w:p>
    <w:p w14:paraId="455E40C3" w14:textId="77777777" w:rsidR="002361C8" w:rsidRPr="002361C8" w:rsidRDefault="002361C8" w:rsidP="00C61659">
      <w:pPr>
        <w:pStyle w:val="NoSpacing"/>
        <w:rPr>
          <w:rFonts w:ascii="Avenir Next LT Pro Demi" w:eastAsia="Times New Roman" w:hAnsi="Avenir Next LT Pro Demi" w:cs="Times New Roman"/>
          <w:bCs/>
          <w:color w:val="000000"/>
          <w:sz w:val="10"/>
          <w:szCs w:val="10"/>
        </w:rPr>
      </w:pPr>
    </w:p>
    <w:p w14:paraId="0E5F04B7" w14:textId="77777777" w:rsidR="001F1F9E" w:rsidRPr="001F1F9E" w:rsidRDefault="001F1F9E" w:rsidP="00C61659">
      <w:pPr>
        <w:pStyle w:val="NoSpacing"/>
        <w:rPr>
          <w:rFonts w:ascii="Avenir Next LT Pro Demi" w:eastAsia="Times New Roman" w:hAnsi="Avenir Next LT Pro Demi" w:cs="Times New Roman"/>
          <w:bCs/>
          <w:color w:val="000000"/>
          <w:sz w:val="10"/>
          <w:szCs w:val="10"/>
        </w:rPr>
      </w:pPr>
    </w:p>
    <w:p w14:paraId="67E573DF" w14:textId="4EB1999D" w:rsidR="00C61659" w:rsidRDefault="00F57DF0" w:rsidP="00C61659">
      <w:pPr>
        <w:pStyle w:val="NoSpacing"/>
        <w:rPr>
          <w:sz w:val="10"/>
          <w:szCs w:val="10"/>
        </w:rPr>
      </w:pPr>
      <w:r w:rsidRPr="00F57DF0">
        <w:rPr>
          <w:rFonts w:ascii="Avenir Next LT Pro Demi" w:eastAsia="Times New Roman" w:hAnsi="Avenir Next LT Pro Demi" w:cs="Times New Roman"/>
          <w:bCs/>
          <w:color w:val="000000"/>
          <w:sz w:val="40"/>
          <w:szCs w:val="40"/>
        </w:rPr>
        <w:t>ProQuest One Global Studies &amp; International Relations</w:t>
      </w:r>
    </w:p>
    <w:p w14:paraId="160EB80F" w14:textId="3820DB0E" w:rsidR="00F63654" w:rsidRPr="001F1F9E" w:rsidRDefault="00F63654" w:rsidP="2B21349B">
      <w:pPr>
        <w:pStyle w:val="NoSpacing"/>
        <w:spacing w:line="300" w:lineRule="auto"/>
        <w:rPr>
          <w:rFonts w:eastAsia="Avenir Next LT Pro" w:cs="Avenir Next LT Pro"/>
          <w:sz w:val="10"/>
          <w:szCs w:val="10"/>
        </w:rPr>
      </w:pPr>
    </w:p>
    <w:p w14:paraId="3E9CF451" w14:textId="01C99F6B" w:rsidR="00F63654" w:rsidRPr="004F71FC" w:rsidRDefault="00294547" w:rsidP="002361C8">
      <w:pPr>
        <w:pStyle w:val="NoSpacing"/>
        <w:rPr>
          <w:rFonts w:eastAsia="Avenir Next LT Pro" w:cs="Avenir Next LT Pro"/>
          <w:sz w:val="20"/>
          <w:szCs w:val="20"/>
        </w:rPr>
      </w:pPr>
      <w:r w:rsidRPr="004F71FC">
        <w:rPr>
          <w:rFonts w:eastAsia="Avenir Next LT Pro" w:cs="Avenir Next LT Pro"/>
          <w:b/>
          <w:bCs/>
          <w:sz w:val="20"/>
          <w:szCs w:val="20"/>
        </w:rPr>
        <w:t>ProQuest One Global Studies &amp; International Relations</w:t>
      </w:r>
      <w:r w:rsidRPr="004F71FC">
        <w:rPr>
          <w:rFonts w:eastAsia="Avenir Next LT Pro" w:cs="Avenir Next LT Pro"/>
          <w:sz w:val="20"/>
          <w:szCs w:val="20"/>
        </w:rPr>
        <w:t xml:space="preserve"> </w:t>
      </w:r>
      <w:r w:rsidR="7FDD219D" w:rsidRPr="004F71FC">
        <w:rPr>
          <w:rFonts w:eastAsia="Avenir Next LT Pro" w:cs="Avenir Next LT Pro"/>
          <w:sz w:val="20"/>
          <w:szCs w:val="20"/>
        </w:rPr>
        <w:t xml:space="preserve">offers an expansive set of </w:t>
      </w:r>
      <w:r w:rsidRPr="004F71FC">
        <w:rPr>
          <w:rFonts w:eastAsia="Avenir Next LT Pro" w:cs="Avenir Next LT Pro"/>
          <w:sz w:val="20"/>
          <w:szCs w:val="20"/>
        </w:rPr>
        <w:t xml:space="preserve">resources for </w:t>
      </w:r>
      <w:r w:rsidR="7FDD219D" w:rsidRPr="004F71FC">
        <w:rPr>
          <w:rFonts w:eastAsia="Avenir Next LT Pro" w:cs="Avenir Next LT Pro"/>
          <w:sz w:val="20"/>
          <w:szCs w:val="20"/>
        </w:rPr>
        <w:t>examining major</w:t>
      </w:r>
      <w:r w:rsidRPr="004F71FC">
        <w:rPr>
          <w:rFonts w:eastAsia="Avenir Next LT Pro" w:cs="Avenir Next LT Pro"/>
          <w:sz w:val="20"/>
          <w:szCs w:val="20"/>
        </w:rPr>
        <w:t xml:space="preserve"> global issues in historical and contemporary contexts. </w:t>
      </w:r>
      <w:r w:rsidR="7FDD219D" w:rsidRPr="004F71FC">
        <w:rPr>
          <w:rFonts w:eastAsia="Avenir Next LT Pro" w:cs="Avenir Next LT Pro"/>
          <w:sz w:val="20"/>
          <w:szCs w:val="20"/>
        </w:rPr>
        <w:t>Thematic collections bring together over five million pages of primary sources, including global policy and archival content, declassified records, diplomatic cables, treaties, international news, periodicals, news scripts, and documentaries, alongside high</w:t>
      </w:r>
      <w:r w:rsidR="7FDD219D" w:rsidRPr="004F71FC">
        <w:rPr>
          <w:rFonts w:ascii="Cambria Math" w:eastAsia="Avenir Next LT Pro" w:hAnsi="Cambria Math" w:cs="Cambria Math"/>
          <w:sz w:val="20"/>
          <w:szCs w:val="20"/>
        </w:rPr>
        <w:t>‑</w:t>
      </w:r>
      <w:r w:rsidR="7FDD219D" w:rsidRPr="004F71FC">
        <w:rPr>
          <w:rFonts w:eastAsia="Avenir Next LT Pro" w:cs="Avenir Next LT Pro"/>
          <w:sz w:val="20"/>
          <w:szCs w:val="20"/>
        </w:rPr>
        <w:t>quality secondary materials to support rigorous, interdisciplinary research into the political, social, economic, and cultural forces shaping the world.</w:t>
      </w:r>
    </w:p>
    <w:p w14:paraId="09823EB0" w14:textId="77777777" w:rsidR="009F7387" w:rsidRPr="00710E44" w:rsidRDefault="009F7387" w:rsidP="00BF7862">
      <w:pPr>
        <w:pStyle w:val="NoSpacing"/>
        <w:rPr>
          <w:rFonts w:eastAsia="Avenir Next LT Pro" w:cs="Avenir Next LT Pro"/>
          <w:b/>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18"/>
        <w:gridCol w:w="2698"/>
      </w:tblGrid>
      <w:tr w:rsidR="005F0CD9" w14:paraId="6A4D0F27" w14:textId="77777777" w:rsidTr="00526E36">
        <w:tc>
          <w:tcPr>
            <w:tcW w:w="6318" w:type="dxa"/>
          </w:tcPr>
          <w:p w14:paraId="34B3EDB0" w14:textId="77777777" w:rsidR="005F0CD9" w:rsidRPr="004F71FC" w:rsidRDefault="005F0CD9" w:rsidP="005F0CD9">
            <w:pPr>
              <w:pStyle w:val="NoSpacing"/>
              <w:rPr>
                <w:rFonts w:eastAsia="Avenir Next LT Pro" w:cs="Avenir Next LT Pro"/>
                <w:b/>
                <w:sz w:val="20"/>
                <w:szCs w:val="20"/>
                <w:lang w:val="en-US"/>
              </w:rPr>
            </w:pPr>
            <w:r w:rsidRPr="004F71FC">
              <w:rPr>
                <w:rFonts w:eastAsia="Avenir Next LT Pro" w:cs="Avenir Next LT Pro"/>
                <w:b/>
                <w:sz w:val="20"/>
                <w:szCs w:val="20"/>
                <w:lang w:val="en-US"/>
              </w:rPr>
              <w:t>Best for</w:t>
            </w:r>
          </w:p>
          <w:p w14:paraId="2133F2B8" w14:textId="786BB66B" w:rsidR="00B55866" w:rsidRDefault="00A90373" w:rsidP="00710E44">
            <w:pPr>
              <w:pStyle w:val="NoSpacing"/>
              <w:numPr>
                <w:ilvl w:val="0"/>
                <w:numId w:val="47"/>
              </w:numPr>
              <w:rPr>
                <w:rFonts w:eastAsia="Avenir Next LT Pro" w:cs="Avenir Next LT Pro"/>
                <w:sz w:val="20"/>
                <w:szCs w:val="20"/>
                <w:lang w:val="en-US"/>
              </w:rPr>
            </w:pPr>
            <w:r w:rsidRPr="00A90373">
              <w:rPr>
                <w:rFonts w:eastAsia="Avenir Next LT Pro" w:cs="Avenir Next LT Pro"/>
                <w:sz w:val="20"/>
                <w:szCs w:val="20"/>
                <w:lang w:val="en-US"/>
              </w:rPr>
              <w:t>Assignments that synthesize evidence across formats (archival documents, periodicals, news scripts, and documentary footage) to compare narratives over time</w:t>
            </w:r>
          </w:p>
          <w:p w14:paraId="3CDD951D" w14:textId="77777777" w:rsidR="00A90373" w:rsidRPr="00A90373" w:rsidRDefault="00A90373" w:rsidP="00710E44">
            <w:pPr>
              <w:pStyle w:val="NoSpacing"/>
              <w:numPr>
                <w:ilvl w:val="0"/>
                <w:numId w:val="47"/>
              </w:numPr>
              <w:rPr>
                <w:rFonts w:eastAsia="Avenir Next LT Pro" w:cs="Avenir Next LT Pro"/>
                <w:sz w:val="20"/>
                <w:szCs w:val="20"/>
                <w:lang w:val="en-US"/>
              </w:rPr>
            </w:pPr>
            <w:r w:rsidRPr="00A90373">
              <w:rPr>
                <w:rFonts w:eastAsia="Avenir Next LT Pro" w:cs="Avenir Next LT Pro"/>
                <w:sz w:val="20"/>
                <w:szCs w:val="20"/>
                <w:lang w:val="en-US"/>
              </w:rPr>
              <w:t>Teaching students to evaluate perspective and credibility using declassified records, diplomatic cables, treaties, and news sources</w:t>
            </w:r>
          </w:p>
          <w:p w14:paraId="4C27A581" w14:textId="75331BC6" w:rsidR="005F0CD9" w:rsidRPr="00A90373" w:rsidRDefault="00A90373" w:rsidP="00710E44">
            <w:pPr>
              <w:pStyle w:val="NoSpacing"/>
              <w:numPr>
                <w:ilvl w:val="0"/>
                <w:numId w:val="47"/>
              </w:numPr>
              <w:rPr>
                <w:rFonts w:eastAsia="Avenir Next LT Pro" w:cs="Avenir Next LT Pro"/>
                <w:sz w:val="20"/>
                <w:szCs w:val="20"/>
                <w:lang w:val="en-US"/>
              </w:rPr>
            </w:pPr>
            <w:r>
              <w:rPr>
                <w:rFonts w:eastAsia="Avenir Next LT Pro" w:cs="Avenir Next LT Pro"/>
                <w:sz w:val="20"/>
                <w:szCs w:val="20"/>
                <w:lang w:val="en-US"/>
              </w:rPr>
              <w:t>R</w:t>
            </w:r>
            <w:r w:rsidRPr="00A90373">
              <w:rPr>
                <w:rFonts w:eastAsia="Avenir Next LT Pro" w:cs="Avenir Next LT Pro"/>
                <w:sz w:val="20"/>
                <w:szCs w:val="20"/>
                <w:lang w:val="en-US"/>
              </w:rPr>
              <w:t>esearch on global policy, diplomacy, security, migration, peacebuilding, and social movements</w:t>
            </w:r>
            <w:r>
              <w:rPr>
                <w:rFonts w:eastAsia="Avenir Next LT Pro" w:cs="Avenir Next LT Pro"/>
                <w:sz w:val="20"/>
                <w:szCs w:val="20"/>
                <w:lang w:val="en-US"/>
              </w:rPr>
              <w:t xml:space="preserve"> using primary sources</w:t>
            </w:r>
          </w:p>
        </w:tc>
        <w:tc>
          <w:tcPr>
            <w:tcW w:w="2698" w:type="dxa"/>
          </w:tcPr>
          <w:p w14:paraId="35F6C4E5" w14:textId="77777777" w:rsidR="005F0CD9" w:rsidRPr="004F71FC" w:rsidRDefault="005F0CD9" w:rsidP="005F0CD9">
            <w:pPr>
              <w:pStyle w:val="NoSpacing"/>
              <w:rPr>
                <w:b/>
                <w:bCs/>
                <w:sz w:val="20"/>
                <w:szCs w:val="20"/>
                <w:lang w:val="en-US"/>
              </w:rPr>
            </w:pPr>
            <w:r w:rsidRPr="004F71FC">
              <w:rPr>
                <w:b/>
                <w:bCs/>
                <w:sz w:val="20"/>
                <w:szCs w:val="20"/>
                <w:lang w:val="en-US"/>
              </w:rPr>
              <w:t>Ideal for courses</w:t>
            </w:r>
          </w:p>
          <w:p w14:paraId="56EC659F" w14:textId="77777777" w:rsidR="005F0CD9" w:rsidRPr="004F71FC" w:rsidRDefault="005F0CD9" w:rsidP="00710E44">
            <w:pPr>
              <w:pStyle w:val="NoSpacing"/>
              <w:numPr>
                <w:ilvl w:val="0"/>
                <w:numId w:val="46"/>
              </w:numPr>
              <w:rPr>
                <w:sz w:val="20"/>
                <w:szCs w:val="20"/>
                <w:lang w:val="en-US"/>
              </w:rPr>
            </w:pPr>
            <w:r w:rsidRPr="004F71FC">
              <w:rPr>
                <w:sz w:val="20"/>
                <w:szCs w:val="20"/>
                <w:lang w:val="en-US"/>
              </w:rPr>
              <w:t>International relations and policy making</w:t>
            </w:r>
          </w:p>
          <w:p w14:paraId="078A44C4" w14:textId="77777777" w:rsidR="005F0CD9" w:rsidRDefault="005F0CD9" w:rsidP="00710E44">
            <w:pPr>
              <w:pStyle w:val="NoSpacing"/>
              <w:numPr>
                <w:ilvl w:val="0"/>
                <w:numId w:val="46"/>
              </w:numPr>
              <w:rPr>
                <w:sz w:val="20"/>
                <w:szCs w:val="20"/>
                <w:lang w:val="en-US"/>
              </w:rPr>
            </w:pPr>
            <w:r w:rsidRPr="004F71FC">
              <w:rPr>
                <w:sz w:val="20"/>
                <w:szCs w:val="20"/>
                <w:lang w:val="en-US"/>
              </w:rPr>
              <w:t>Global studies and comparative politics</w:t>
            </w:r>
          </w:p>
          <w:p w14:paraId="2805319D" w14:textId="13964964" w:rsidR="005F0CD9" w:rsidRPr="005F0CD9" w:rsidRDefault="005F0CD9" w:rsidP="00710E44">
            <w:pPr>
              <w:pStyle w:val="NoSpacing"/>
              <w:numPr>
                <w:ilvl w:val="0"/>
                <w:numId w:val="46"/>
              </w:numPr>
              <w:rPr>
                <w:sz w:val="20"/>
                <w:szCs w:val="20"/>
                <w:lang w:val="en-US"/>
              </w:rPr>
            </w:pPr>
            <w:r w:rsidRPr="005F0CD9">
              <w:rPr>
                <w:sz w:val="20"/>
                <w:szCs w:val="20"/>
                <w:lang w:val="en-US"/>
              </w:rPr>
              <w:t>Human rights, migration, peace studies, and environmental policy</w:t>
            </w:r>
          </w:p>
        </w:tc>
      </w:tr>
    </w:tbl>
    <w:p w14:paraId="3808DB4D" w14:textId="77777777" w:rsidR="005F0CD9" w:rsidRPr="00710E44" w:rsidRDefault="005F0CD9" w:rsidP="00BF7862">
      <w:pPr>
        <w:pStyle w:val="NoSpacing"/>
        <w:rPr>
          <w:rFonts w:eastAsia="Avenir Next LT Pro" w:cs="Avenir Next LT Pro"/>
          <w:b/>
          <w:sz w:val="10"/>
          <w:szCs w:val="10"/>
          <w:lang w:val="en-US"/>
        </w:rPr>
      </w:pPr>
    </w:p>
    <w:p w14:paraId="320DF638" w14:textId="212C3563" w:rsidR="00BF7862" w:rsidRPr="004F71FC" w:rsidRDefault="00BF7862" w:rsidP="00BF7862">
      <w:pPr>
        <w:pStyle w:val="NoSpacing"/>
        <w:rPr>
          <w:b/>
          <w:bCs/>
          <w:sz w:val="20"/>
          <w:szCs w:val="20"/>
          <w:lang w:val="en-US"/>
        </w:rPr>
      </w:pPr>
      <w:r w:rsidRPr="004F71FC">
        <w:rPr>
          <w:b/>
          <w:bCs/>
          <w:sz w:val="20"/>
          <w:szCs w:val="20"/>
          <w:lang w:val="en-US"/>
        </w:rPr>
        <w:t>Teaching idea</w:t>
      </w:r>
    </w:p>
    <w:p w14:paraId="5398E1B0" w14:textId="29CE47D5" w:rsidR="3B187608" w:rsidRPr="004F71FC" w:rsidRDefault="3B187608" w:rsidP="2B21349B">
      <w:pPr>
        <w:pStyle w:val="NoSpacing"/>
        <w:rPr>
          <w:sz w:val="20"/>
          <w:szCs w:val="20"/>
          <w:lang w:val="en-US"/>
        </w:rPr>
      </w:pPr>
      <w:r w:rsidRPr="004F71FC">
        <w:rPr>
          <w:sz w:val="20"/>
          <w:szCs w:val="20"/>
          <w:lang w:val="en-US"/>
        </w:rPr>
        <w:t xml:space="preserve">Ask students to create a concise briefing memo drawing on archival materials, government documents, and multimedia sources. The task is to </w:t>
      </w:r>
      <w:proofErr w:type="spellStart"/>
      <w:r w:rsidRPr="004F71FC">
        <w:rPr>
          <w:sz w:val="20"/>
          <w:szCs w:val="20"/>
          <w:lang w:val="en-US"/>
        </w:rPr>
        <w:t>analyse</w:t>
      </w:r>
      <w:proofErr w:type="spellEnd"/>
      <w:r w:rsidRPr="004F71FC">
        <w:rPr>
          <w:sz w:val="20"/>
          <w:szCs w:val="20"/>
          <w:lang w:val="en-US"/>
        </w:rPr>
        <w:t xml:space="preserve"> and compare how official narratives differ from public or media perspectives, demonstrating how evidence shapes policy interpretation and debate.  </w:t>
      </w:r>
    </w:p>
    <w:p w14:paraId="09079655" w14:textId="77777777" w:rsidR="00C32746" w:rsidRPr="00710E44" w:rsidRDefault="00C32746" w:rsidP="00F63654">
      <w:pPr>
        <w:pStyle w:val="NoSpacing"/>
        <w:rPr>
          <w:b/>
          <w:bCs/>
          <w:sz w:val="10"/>
          <w:szCs w:val="10"/>
          <w:lang w:val="en-US"/>
        </w:rPr>
      </w:pPr>
    </w:p>
    <w:p w14:paraId="6948CB70" w14:textId="77777777" w:rsidR="00590B50" w:rsidRPr="004F71FC" w:rsidRDefault="00590B50" w:rsidP="00590B50">
      <w:pPr>
        <w:pStyle w:val="NoSpacing"/>
        <w:rPr>
          <w:sz w:val="20"/>
          <w:szCs w:val="20"/>
          <w:lang w:val="en-US"/>
        </w:rPr>
      </w:pPr>
      <w:r w:rsidRPr="004F71FC">
        <w:rPr>
          <w:b/>
          <w:bCs/>
          <w:sz w:val="20"/>
          <w:szCs w:val="20"/>
        </w:rPr>
        <w:t>Key partners include</w:t>
      </w:r>
    </w:p>
    <w:p w14:paraId="011E0BE1" w14:textId="77777777" w:rsidR="003320B5" w:rsidRDefault="003320B5" w:rsidP="005C2568">
      <w:pPr>
        <w:pStyle w:val="NoSpacing"/>
        <w:ind w:left="720"/>
        <w:rPr>
          <w:sz w:val="20"/>
          <w:szCs w:val="20"/>
          <w:lang w:val="en-US"/>
        </w:rPr>
        <w:sectPr w:rsidR="003320B5" w:rsidSect="0014719E">
          <w:headerReference w:type="default" r:id="rId11"/>
          <w:type w:val="continuous"/>
          <w:pgSz w:w="11906" w:h="16838"/>
          <w:pgMar w:top="1440" w:right="1440" w:bottom="1440" w:left="1440" w:header="708" w:footer="708" w:gutter="0"/>
          <w:cols w:space="708"/>
          <w:docGrid w:linePitch="360"/>
        </w:sectPr>
      </w:pPr>
    </w:p>
    <w:p w14:paraId="07E5EFA7" w14:textId="77777777" w:rsidR="00402047" w:rsidRPr="004F71FC" w:rsidRDefault="00402047" w:rsidP="003320B5">
      <w:pPr>
        <w:pStyle w:val="NoSpacing"/>
        <w:rPr>
          <w:sz w:val="20"/>
          <w:szCs w:val="20"/>
          <w:lang w:val="en-US"/>
        </w:rPr>
      </w:pPr>
      <w:r w:rsidRPr="004F71FC">
        <w:rPr>
          <w:sz w:val="20"/>
          <w:szCs w:val="20"/>
          <w:lang w:val="en-US"/>
        </w:rPr>
        <w:t>BBC News Archive</w:t>
      </w:r>
    </w:p>
    <w:p w14:paraId="1B2794F0" w14:textId="77777777" w:rsidR="00402047" w:rsidRPr="004F71FC" w:rsidRDefault="00402047" w:rsidP="003320B5">
      <w:pPr>
        <w:pStyle w:val="NoSpacing"/>
        <w:rPr>
          <w:sz w:val="20"/>
          <w:szCs w:val="20"/>
          <w:lang w:val="en-US"/>
        </w:rPr>
      </w:pPr>
      <w:r w:rsidRPr="004F71FC">
        <w:rPr>
          <w:sz w:val="20"/>
          <w:szCs w:val="20"/>
          <w:lang w:val="en-US"/>
        </w:rPr>
        <w:t>Foreign and Commonwealth Office (UK)</w:t>
      </w:r>
    </w:p>
    <w:p w14:paraId="588988AA" w14:textId="77777777" w:rsidR="00402047" w:rsidRPr="004F71FC" w:rsidRDefault="00402047" w:rsidP="003320B5">
      <w:pPr>
        <w:pStyle w:val="NoSpacing"/>
        <w:rPr>
          <w:sz w:val="20"/>
          <w:szCs w:val="20"/>
          <w:lang w:val="en-US"/>
        </w:rPr>
      </w:pPr>
      <w:r w:rsidRPr="004F71FC">
        <w:rPr>
          <w:sz w:val="20"/>
          <w:szCs w:val="20"/>
          <w:lang w:val="en-US"/>
        </w:rPr>
        <w:t>Humanity and Inclusion International</w:t>
      </w:r>
    </w:p>
    <w:p w14:paraId="2F4CB48E" w14:textId="77777777" w:rsidR="00402047" w:rsidRPr="004F71FC" w:rsidRDefault="00402047" w:rsidP="003320B5">
      <w:pPr>
        <w:pStyle w:val="NoSpacing"/>
        <w:rPr>
          <w:sz w:val="20"/>
          <w:szCs w:val="20"/>
          <w:lang w:val="en-US"/>
        </w:rPr>
      </w:pPr>
      <w:r w:rsidRPr="004F71FC">
        <w:rPr>
          <w:sz w:val="20"/>
          <w:szCs w:val="20"/>
          <w:lang w:val="en-US"/>
        </w:rPr>
        <w:t>Institute for the Study of Diplomacy at Georgetown University (USA)</w:t>
      </w:r>
    </w:p>
    <w:p w14:paraId="2CB77A69" w14:textId="77777777" w:rsidR="00402047" w:rsidRPr="004F71FC" w:rsidRDefault="00402047" w:rsidP="003320B5">
      <w:pPr>
        <w:pStyle w:val="NoSpacing"/>
        <w:rPr>
          <w:sz w:val="20"/>
          <w:szCs w:val="20"/>
          <w:lang w:val="en-US"/>
        </w:rPr>
      </w:pPr>
      <w:r w:rsidRPr="004F71FC">
        <w:rPr>
          <w:sz w:val="20"/>
          <w:szCs w:val="20"/>
          <w:lang w:val="en-US"/>
        </w:rPr>
        <w:t xml:space="preserve">International Work Group for Indigenous Affairs </w:t>
      </w:r>
    </w:p>
    <w:p w14:paraId="15DFEB49" w14:textId="77777777" w:rsidR="00402047" w:rsidRPr="004F71FC" w:rsidRDefault="00402047" w:rsidP="003320B5">
      <w:pPr>
        <w:pStyle w:val="NoSpacing"/>
        <w:rPr>
          <w:sz w:val="20"/>
          <w:szCs w:val="20"/>
          <w:lang w:val="en-US"/>
        </w:rPr>
      </w:pPr>
      <w:r w:rsidRPr="004F71FC">
        <w:rPr>
          <w:sz w:val="20"/>
          <w:szCs w:val="20"/>
          <w:lang w:val="en-US"/>
        </w:rPr>
        <w:t>National Security Archive (USA)</w:t>
      </w:r>
    </w:p>
    <w:p w14:paraId="4A51FA87" w14:textId="77777777" w:rsidR="00402047" w:rsidRPr="004F71FC" w:rsidRDefault="00402047" w:rsidP="003320B5">
      <w:pPr>
        <w:pStyle w:val="NoSpacing"/>
        <w:rPr>
          <w:sz w:val="20"/>
          <w:szCs w:val="20"/>
          <w:lang w:val="en-US"/>
        </w:rPr>
      </w:pPr>
      <w:r w:rsidRPr="004F71FC">
        <w:rPr>
          <w:sz w:val="20"/>
          <w:szCs w:val="20"/>
          <w:lang w:val="en-US"/>
        </w:rPr>
        <w:t>Senate House (University of London)</w:t>
      </w:r>
    </w:p>
    <w:p w14:paraId="4604F0EC" w14:textId="77777777" w:rsidR="00402047" w:rsidRPr="004F71FC" w:rsidRDefault="00402047" w:rsidP="003320B5">
      <w:pPr>
        <w:pStyle w:val="NoSpacing"/>
        <w:rPr>
          <w:sz w:val="20"/>
          <w:szCs w:val="20"/>
          <w:lang w:val="en-US"/>
        </w:rPr>
      </w:pPr>
      <w:r w:rsidRPr="004F71FC">
        <w:rPr>
          <w:sz w:val="20"/>
          <w:szCs w:val="20"/>
          <w:lang w:val="en-US"/>
        </w:rPr>
        <w:t>State Library of Queensland</w:t>
      </w:r>
    </w:p>
    <w:p w14:paraId="78BA7886" w14:textId="77777777" w:rsidR="003320B5" w:rsidRDefault="003320B5" w:rsidP="00F63654">
      <w:pPr>
        <w:pStyle w:val="NoSpacing"/>
        <w:rPr>
          <w:b/>
          <w:bCs/>
          <w:sz w:val="10"/>
          <w:szCs w:val="10"/>
          <w:lang w:val="en-US"/>
        </w:rPr>
        <w:sectPr w:rsidR="003320B5" w:rsidSect="003320B5">
          <w:type w:val="continuous"/>
          <w:pgSz w:w="11906" w:h="16838"/>
          <w:pgMar w:top="1440" w:right="1440" w:bottom="1440" w:left="1440" w:header="708" w:footer="708" w:gutter="0"/>
          <w:cols w:num="2" w:space="708"/>
          <w:docGrid w:linePitch="360"/>
        </w:sectPr>
      </w:pPr>
    </w:p>
    <w:p w14:paraId="4401A32C" w14:textId="77777777" w:rsidR="00C32746" w:rsidRPr="00710E44" w:rsidRDefault="00C32746" w:rsidP="00F63654">
      <w:pPr>
        <w:pStyle w:val="NoSpacing"/>
        <w:rPr>
          <w:b/>
          <w:bCs/>
          <w:sz w:val="10"/>
          <w:szCs w:val="10"/>
          <w:lang w:val="en-US"/>
        </w:rPr>
      </w:pPr>
    </w:p>
    <w:p w14:paraId="0344DFF5" w14:textId="04B81A16" w:rsidR="00444E90" w:rsidRPr="004F71FC" w:rsidRDefault="009D4D58" w:rsidP="00F63654">
      <w:pPr>
        <w:pStyle w:val="NoSpacing"/>
        <w:rPr>
          <w:sz w:val="20"/>
          <w:szCs w:val="20"/>
          <w:lang w:val="en-US"/>
        </w:rPr>
      </w:pPr>
      <w:r w:rsidRPr="004F71FC">
        <w:rPr>
          <w:b/>
          <w:bCs/>
          <w:sz w:val="20"/>
          <w:szCs w:val="20"/>
          <w:lang w:val="en-US"/>
        </w:rPr>
        <w:t>Content highlights</w:t>
      </w:r>
    </w:p>
    <w:p w14:paraId="343A521C" w14:textId="686EF1F3" w:rsidR="00444E90" w:rsidRPr="004F71FC" w:rsidRDefault="00444E90" w:rsidP="00314C47">
      <w:pPr>
        <w:pStyle w:val="NoSpacing"/>
        <w:numPr>
          <w:ilvl w:val="0"/>
          <w:numId w:val="10"/>
        </w:numPr>
        <w:rPr>
          <w:sz w:val="20"/>
          <w:szCs w:val="20"/>
          <w:lang w:val="en-US"/>
        </w:rPr>
      </w:pPr>
      <w:hyperlink r:id="rId12" w:history="1">
        <w:r w:rsidRPr="004F71FC">
          <w:rPr>
            <w:rStyle w:val="Hyperlink"/>
            <w:sz w:val="20"/>
            <w:szCs w:val="20"/>
            <w:lang w:val="en-US"/>
          </w:rPr>
          <w:t>Cultural Survival Quarterly</w:t>
        </w:r>
      </w:hyperlink>
    </w:p>
    <w:p w14:paraId="40B2D3F9" w14:textId="551E06C0" w:rsidR="00F63654" w:rsidRPr="004F71FC" w:rsidRDefault="00F249CF" w:rsidP="00314C47">
      <w:pPr>
        <w:pStyle w:val="NoSpacing"/>
        <w:numPr>
          <w:ilvl w:val="0"/>
          <w:numId w:val="10"/>
        </w:numPr>
        <w:rPr>
          <w:sz w:val="20"/>
          <w:szCs w:val="20"/>
          <w:lang w:val="en-US"/>
        </w:rPr>
      </w:pPr>
      <w:hyperlink r:id="rId13" w:history="1">
        <w:r w:rsidRPr="004F71FC">
          <w:rPr>
            <w:rStyle w:val="Hyperlink"/>
            <w:sz w:val="20"/>
            <w:szCs w:val="20"/>
            <w:lang w:val="en-US"/>
          </w:rPr>
          <w:t>DNSA</w:t>
        </w:r>
        <w:r w:rsidR="00363725" w:rsidRPr="004F71FC">
          <w:rPr>
            <w:rStyle w:val="Hyperlink"/>
            <w:sz w:val="20"/>
            <w:szCs w:val="20"/>
            <w:lang w:val="en-US"/>
          </w:rPr>
          <w:t xml:space="preserve"> 64</w:t>
        </w:r>
        <w:r w:rsidRPr="004F71FC">
          <w:rPr>
            <w:rStyle w:val="Hyperlink"/>
            <w:sz w:val="20"/>
            <w:szCs w:val="20"/>
            <w:lang w:val="en-US"/>
          </w:rPr>
          <w:t xml:space="preserve">: </w:t>
        </w:r>
        <w:r w:rsidRPr="004F71FC">
          <w:rPr>
            <w:rStyle w:val="Hyperlink"/>
            <w:sz w:val="20"/>
            <w:szCs w:val="20"/>
          </w:rPr>
          <w:t xml:space="preserve">The CIA and the </w:t>
        </w:r>
        <w:proofErr w:type="spellStart"/>
        <w:r w:rsidRPr="004F71FC">
          <w:rPr>
            <w:rStyle w:val="Hyperlink"/>
            <w:sz w:val="20"/>
            <w:szCs w:val="20"/>
          </w:rPr>
          <w:t>Behavioral</w:t>
        </w:r>
        <w:proofErr w:type="spellEnd"/>
        <w:r w:rsidRPr="004F71FC">
          <w:rPr>
            <w:rStyle w:val="Hyperlink"/>
            <w:sz w:val="20"/>
            <w:szCs w:val="20"/>
          </w:rPr>
          <w:t xml:space="preserve"> Sciences: Mind Control, Drug Experiments and MKULTRA</w:t>
        </w:r>
      </w:hyperlink>
    </w:p>
    <w:p w14:paraId="73227F2A" w14:textId="77777777" w:rsidR="008467C8" w:rsidRPr="00710E44" w:rsidRDefault="008467C8" w:rsidP="008467C8">
      <w:pPr>
        <w:pStyle w:val="NoSpacing"/>
        <w:rPr>
          <w:sz w:val="10"/>
          <w:szCs w:val="10"/>
          <w:lang w:val="en-US"/>
        </w:rPr>
      </w:pPr>
    </w:p>
    <w:p w14:paraId="4FEB80ED" w14:textId="33C1A8EF" w:rsidR="005A6C00" w:rsidRPr="004F71FC" w:rsidRDefault="005A6C00" w:rsidP="005A6C00">
      <w:pPr>
        <w:pStyle w:val="NoSpacing"/>
        <w:rPr>
          <w:sz w:val="20"/>
          <w:szCs w:val="20"/>
          <w:lang w:val="en-US"/>
        </w:rPr>
      </w:pPr>
      <w:r w:rsidRPr="004F71FC">
        <w:rPr>
          <w:b/>
          <w:bCs/>
          <w:sz w:val="20"/>
          <w:szCs w:val="20"/>
          <w:lang w:val="en-US"/>
        </w:rPr>
        <w:t>Explore</w:t>
      </w:r>
      <w:r w:rsidR="000B5694" w:rsidRPr="004F71FC">
        <w:rPr>
          <w:b/>
          <w:bCs/>
          <w:sz w:val="20"/>
          <w:szCs w:val="20"/>
          <w:lang w:val="en-US"/>
        </w:rPr>
        <w:t xml:space="preserve"> Global Studies &amp; International Relations</w:t>
      </w:r>
      <w:r w:rsidRPr="004F71FC">
        <w:rPr>
          <w:sz w:val="20"/>
          <w:szCs w:val="20"/>
          <w:lang w:val="en-US"/>
        </w:rPr>
        <w:t xml:space="preserve"> pages</w:t>
      </w:r>
      <w:r w:rsidR="00994AD7" w:rsidRPr="004F71FC">
        <w:rPr>
          <w:sz w:val="20"/>
          <w:szCs w:val="20"/>
          <w:lang w:val="en-US"/>
        </w:rPr>
        <w:t xml:space="preserve"> on the Alexander Street platform</w:t>
      </w:r>
      <w:r w:rsidRPr="004F71FC">
        <w:rPr>
          <w:sz w:val="20"/>
          <w:szCs w:val="20"/>
          <w:lang w:val="en-US"/>
        </w:rPr>
        <w:t xml:space="preserve"> that bring together curated content on notable figures and organizations such as:</w:t>
      </w:r>
    </w:p>
    <w:p w14:paraId="396D422A" w14:textId="77777777" w:rsidR="002361C8" w:rsidRDefault="002361C8" w:rsidP="00314C47">
      <w:pPr>
        <w:pStyle w:val="NoSpacing"/>
        <w:numPr>
          <w:ilvl w:val="0"/>
          <w:numId w:val="11"/>
        </w:numPr>
        <w:sectPr w:rsidR="002361C8" w:rsidSect="0014719E">
          <w:type w:val="continuous"/>
          <w:pgSz w:w="11906" w:h="16838"/>
          <w:pgMar w:top="1440" w:right="1440" w:bottom="1440" w:left="1440" w:header="708" w:footer="708" w:gutter="0"/>
          <w:cols w:space="708"/>
          <w:docGrid w:linePitch="360"/>
        </w:sectPr>
      </w:pPr>
    </w:p>
    <w:p w14:paraId="5C4EB952" w14:textId="66F48967" w:rsidR="00402047" w:rsidRPr="004F71FC" w:rsidRDefault="00402047" w:rsidP="00314C47">
      <w:pPr>
        <w:pStyle w:val="NoSpacing"/>
        <w:numPr>
          <w:ilvl w:val="0"/>
          <w:numId w:val="11"/>
        </w:numPr>
        <w:rPr>
          <w:sz w:val="20"/>
          <w:szCs w:val="20"/>
          <w:lang w:val="en-US"/>
        </w:rPr>
      </w:pPr>
      <w:hyperlink r:id="rId14" w:history="1">
        <w:r w:rsidRPr="004F71FC">
          <w:rPr>
            <w:rStyle w:val="Hyperlink"/>
            <w:sz w:val="20"/>
            <w:szCs w:val="20"/>
            <w:lang w:val="en-US"/>
          </w:rPr>
          <w:t>Food Systems</w:t>
        </w:r>
      </w:hyperlink>
    </w:p>
    <w:p w14:paraId="53286152" w14:textId="77777777" w:rsidR="00402047" w:rsidRPr="004F71FC" w:rsidRDefault="00402047" w:rsidP="00314C47">
      <w:pPr>
        <w:pStyle w:val="NoSpacing"/>
        <w:numPr>
          <w:ilvl w:val="0"/>
          <w:numId w:val="11"/>
        </w:numPr>
        <w:rPr>
          <w:sz w:val="20"/>
          <w:szCs w:val="20"/>
          <w:lang w:val="en-US"/>
        </w:rPr>
      </w:pPr>
      <w:hyperlink r:id="rId15" w:history="1">
        <w:r w:rsidRPr="004F71FC">
          <w:rPr>
            <w:rStyle w:val="Hyperlink"/>
            <w:sz w:val="20"/>
            <w:szCs w:val="20"/>
            <w:lang w:val="en-US"/>
          </w:rPr>
          <w:t>Handicap International/ Humanity &amp; Inclusion</w:t>
        </w:r>
      </w:hyperlink>
    </w:p>
    <w:p w14:paraId="4F2A5B28" w14:textId="77777777" w:rsidR="00402047" w:rsidRPr="004F71FC" w:rsidRDefault="00402047" w:rsidP="00314C47">
      <w:pPr>
        <w:pStyle w:val="NoSpacing"/>
        <w:numPr>
          <w:ilvl w:val="0"/>
          <w:numId w:val="11"/>
        </w:numPr>
        <w:rPr>
          <w:sz w:val="20"/>
          <w:szCs w:val="20"/>
          <w:lang w:val="en-US"/>
        </w:rPr>
      </w:pPr>
      <w:hyperlink r:id="rId16" w:history="1">
        <w:r w:rsidRPr="004F71FC">
          <w:rPr>
            <w:rStyle w:val="Hyperlink"/>
            <w:sz w:val="20"/>
            <w:szCs w:val="20"/>
            <w:lang w:val="en-US"/>
          </w:rPr>
          <w:t>Peacebuilding</w:t>
        </w:r>
      </w:hyperlink>
    </w:p>
    <w:p w14:paraId="26F7FB9A" w14:textId="77777777" w:rsidR="00402047" w:rsidRPr="004F71FC" w:rsidRDefault="00402047" w:rsidP="00314C47">
      <w:pPr>
        <w:pStyle w:val="NoSpacing"/>
        <w:numPr>
          <w:ilvl w:val="0"/>
          <w:numId w:val="11"/>
        </w:numPr>
        <w:rPr>
          <w:sz w:val="20"/>
          <w:szCs w:val="20"/>
          <w:lang w:val="en-US"/>
        </w:rPr>
      </w:pPr>
      <w:hyperlink r:id="rId17" w:history="1">
        <w:r w:rsidRPr="004F71FC">
          <w:rPr>
            <w:rStyle w:val="Hyperlink"/>
            <w:sz w:val="20"/>
            <w:szCs w:val="20"/>
            <w:lang w:val="en-US"/>
          </w:rPr>
          <w:t>Soviet Union and International Relations</w:t>
        </w:r>
      </w:hyperlink>
    </w:p>
    <w:p w14:paraId="2F901F8C" w14:textId="77777777" w:rsidR="002361C8" w:rsidRDefault="002361C8" w:rsidP="00F63654">
      <w:pPr>
        <w:pStyle w:val="NoSpacing"/>
        <w:rPr>
          <w:sz w:val="10"/>
          <w:szCs w:val="10"/>
          <w:lang w:val="en-US"/>
        </w:rPr>
        <w:sectPr w:rsidR="002361C8" w:rsidSect="002361C8">
          <w:type w:val="continuous"/>
          <w:pgSz w:w="11906" w:h="16838"/>
          <w:pgMar w:top="1440" w:right="1440" w:bottom="1440" w:left="1440" w:header="708" w:footer="708" w:gutter="0"/>
          <w:cols w:num="2" w:space="708"/>
          <w:docGrid w:linePitch="360"/>
        </w:sectPr>
      </w:pPr>
    </w:p>
    <w:p w14:paraId="15CA83F9" w14:textId="77777777" w:rsidR="008467C8" w:rsidRPr="00710E44" w:rsidRDefault="008467C8" w:rsidP="00F63654">
      <w:pPr>
        <w:pStyle w:val="NoSpacing"/>
        <w:rPr>
          <w:sz w:val="10"/>
          <w:szCs w:val="10"/>
          <w:lang w:val="en-US"/>
        </w:rPr>
      </w:pPr>
    </w:p>
    <w:p w14:paraId="725BBCD2" w14:textId="77777777" w:rsidR="00D706DA" w:rsidRPr="004F71FC" w:rsidRDefault="00D706DA" w:rsidP="00D706DA">
      <w:pPr>
        <w:pStyle w:val="NoSpacing"/>
        <w:rPr>
          <w:b/>
          <w:bCs/>
          <w:sz w:val="20"/>
          <w:szCs w:val="20"/>
          <w:lang w:val="en-US"/>
        </w:rPr>
      </w:pPr>
      <w:r w:rsidRPr="004F71FC">
        <w:rPr>
          <w:b/>
          <w:bCs/>
          <w:sz w:val="20"/>
          <w:szCs w:val="20"/>
          <w:lang w:val="en-US"/>
        </w:rPr>
        <w:t>Access &amp; product information</w:t>
      </w:r>
    </w:p>
    <w:p w14:paraId="4BA1186A" w14:textId="005DD571" w:rsidR="001A7369" w:rsidRPr="004F71FC" w:rsidRDefault="001A7369" w:rsidP="00314C47">
      <w:pPr>
        <w:pStyle w:val="ListParagraph"/>
        <w:numPr>
          <w:ilvl w:val="0"/>
          <w:numId w:val="26"/>
        </w:numPr>
        <w:spacing w:after="0" w:line="257" w:lineRule="auto"/>
        <w:rPr>
          <w:rFonts w:eastAsia="Avenir Next LT Pro" w:cs="Avenir Next LT Pro"/>
          <w:sz w:val="20"/>
          <w:szCs w:val="20"/>
        </w:rPr>
      </w:pPr>
      <w:r w:rsidRPr="004F71FC">
        <w:rPr>
          <w:rFonts w:eastAsia="Avenir Next LT Pro" w:cs="Avenir Next LT Pro"/>
          <w:b/>
          <w:bCs/>
          <w:sz w:val="20"/>
          <w:szCs w:val="20"/>
        </w:rPr>
        <w:t>Product Access URL:</w:t>
      </w:r>
      <w:r w:rsidRPr="004F71FC">
        <w:rPr>
          <w:rFonts w:eastAsia="Avenir Next LT Pro" w:cs="Avenir Next LT Pro"/>
          <w:sz w:val="20"/>
          <w:szCs w:val="20"/>
        </w:rPr>
        <w:t xml:space="preserve"> </w:t>
      </w:r>
      <w:hyperlink r:id="rId18" w:history="1">
        <w:r w:rsidR="002836C3" w:rsidRPr="004F71FC">
          <w:rPr>
            <w:rStyle w:val="Hyperlink"/>
            <w:rFonts w:eastAsia="Avenir Next LT Pro" w:cs="Avenir Next LT Pro"/>
            <w:sz w:val="20"/>
            <w:szCs w:val="20"/>
          </w:rPr>
          <w:t>https://www.proquest.com/pq1globalstudies</w:t>
        </w:r>
      </w:hyperlink>
    </w:p>
    <w:p w14:paraId="221CAD26" w14:textId="13618F72" w:rsidR="00883A5C" w:rsidRPr="004F71FC" w:rsidRDefault="001A7369" w:rsidP="00314C47">
      <w:pPr>
        <w:pStyle w:val="ListParagraph"/>
        <w:numPr>
          <w:ilvl w:val="0"/>
          <w:numId w:val="26"/>
        </w:numPr>
        <w:spacing w:after="0" w:line="257" w:lineRule="auto"/>
        <w:rPr>
          <w:rFonts w:eastAsia="Avenir Next LT Pro" w:cs="Avenir Next LT Pro"/>
          <w:sz w:val="20"/>
          <w:szCs w:val="20"/>
        </w:rPr>
      </w:pPr>
      <w:r w:rsidRPr="004F71FC">
        <w:rPr>
          <w:rFonts w:eastAsia="Avenir Next LT Pro" w:cs="Avenir Next LT Pro"/>
          <w:b/>
          <w:bCs/>
          <w:sz w:val="20"/>
          <w:szCs w:val="20"/>
        </w:rPr>
        <w:t>Marketing Page:</w:t>
      </w:r>
      <w:r w:rsidRPr="004F71FC">
        <w:rPr>
          <w:rFonts w:eastAsia="Avenir Next LT Pro" w:cs="Avenir Next LT Pro"/>
          <w:sz w:val="20"/>
          <w:szCs w:val="20"/>
        </w:rPr>
        <w:t xml:space="preserve">  </w:t>
      </w:r>
      <w:hyperlink r:id="rId19" w:history="1">
        <w:r w:rsidR="00883A5C" w:rsidRPr="004F71FC">
          <w:rPr>
            <w:rStyle w:val="Hyperlink"/>
            <w:rFonts w:eastAsia="Avenir Next LT Pro" w:cs="Avenir Next LT Pro"/>
            <w:sz w:val="20"/>
            <w:szCs w:val="20"/>
          </w:rPr>
          <w:t>https://about.proquest.com/en/products-services/proquest-one-global-studies-international-relations/</w:t>
        </w:r>
      </w:hyperlink>
    </w:p>
    <w:p w14:paraId="73CB27CA" w14:textId="340ECCB6" w:rsidR="001A7369" w:rsidRPr="004F71FC" w:rsidRDefault="001A7369" w:rsidP="00314C47">
      <w:pPr>
        <w:pStyle w:val="ListParagraph"/>
        <w:numPr>
          <w:ilvl w:val="0"/>
          <w:numId w:val="26"/>
        </w:numPr>
        <w:spacing w:after="0" w:line="257" w:lineRule="auto"/>
        <w:rPr>
          <w:rFonts w:eastAsia="Avenir Next LT Pro" w:cs="Avenir Next LT Pro"/>
          <w:sz w:val="20"/>
          <w:szCs w:val="20"/>
        </w:rPr>
      </w:pPr>
      <w:r w:rsidRPr="004F71FC">
        <w:rPr>
          <w:rFonts w:eastAsia="Avenir Next LT Pro" w:cs="Avenir Next LT Pro"/>
          <w:b/>
          <w:bCs/>
          <w:sz w:val="20"/>
          <w:szCs w:val="20"/>
        </w:rPr>
        <w:t>Brochure:</w:t>
      </w:r>
      <w:r w:rsidRPr="004F71FC">
        <w:rPr>
          <w:rFonts w:eastAsia="Avenir Next LT Pro" w:cs="Avenir Next LT Pro"/>
          <w:sz w:val="20"/>
          <w:szCs w:val="20"/>
        </w:rPr>
        <w:t xml:space="preserve"> </w:t>
      </w:r>
      <w:hyperlink r:id="rId20" w:history="1">
        <w:r w:rsidR="00883A5C" w:rsidRPr="004F71FC">
          <w:rPr>
            <w:rStyle w:val="Hyperlink"/>
            <w:rFonts w:eastAsia="Avenir Next LT Pro" w:cs="Avenir Next LT Pro"/>
            <w:sz w:val="20"/>
            <w:szCs w:val="20"/>
          </w:rPr>
          <w:t>https://pq-static-content.proquest.com/collateral/media2/documents/brochure-pqone-globalstudies-intlrelations.pdf</w:t>
        </w:r>
      </w:hyperlink>
    </w:p>
    <w:p w14:paraId="53C26D4A" w14:textId="2607BA1C" w:rsidR="001A7369" w:rsidRPr="004F71FC" w:rsidRDefault="001A7369" w:rsidP="00314C47">
      <w:pPr>
        <w:pStyle w:val="ListParagraph"/>
        <w:numPr>
          <w:ilvl w:val="0"/>
          <w:numId w:val="26"/>
        </w:numPr>
        <w:spacing w:after="0" w:line="257" w:lineRule="auto"/>
        <w:rPr>
          <w:rFonts w:eastAsia="Avenir Next LT Pro" w:cs="Avenir Next LT Pro"/>
          <w:sz w:val="20"/>
          <w:szCs w:val="20"/>
        </w:rPr>
      </w:pPr>
      <w:proofErr w:type="spellStart"/>
      <w:r w:rsidRPr="004F71FC">
        <w:rPr>
          <w:rFonts w:eastAsia="Avenir Next LT Pro" w:cs="Avenir Next LT Pro"/>
          <w:b/>
          <w:bCs/>
          <w:sz w:val="20"/>
          <w:szCs w:val="20"/>
          <w:lang w:val="en-US"/>
        </w:rPr>
        <w:t>LibGuide</w:t>
      </w:r>
      <w:proofErr w:type="spellEnd"/>
      <w:r w:rsidRPr="004F71FC">
        <w:rPr>
          <w:rFonts w:eastAsia="Avenir Next LT Pro" w:cs="Avenir Next LT Pro"/>
          <w:b/>
          <w:bCs/>
          <w:sz w:val="20"/>
          <w:szCs w:val="20"/>
          <w:lang w:val="en-US"/>
        </w:rPr>
        <w:t xml:space="preserve"> Page: </w:t>
      </w:r>
      <w:hyperlink r:id="rId21" w:history="1">
        <w:r w:rsidR="00787476" w:rsidRPr="004F71FC">
          <w:rPr>
            <w:rStyle w:val="Hyperlink"/>
            <w:rFonts w:eastAsia="Avenir Next LT Pro" w:cs="Avenir Next LT Pro"/>
            <w:sz w:val="20"/>
            <w:szCs w:val="20"/>
            <w:lang w:val="en-US"/>
          </w:rPr>
          <w:t>https://proquest.libguides.com/Globalstudies</w:t>
        </w:r>
      </w:hyperlink>
    </w:p>
    <w:sectPr w:rsidR="001A7369" w:rsidRPr="004F71FC" w:rsidSect="00147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0A4C" w14:textId="77777777" w:rsidR="00E87693" w:rsidRDefault="00E87693" w:rsidP="004C2870">
      <w:pPr>
        <w:spacing w:after="0" w:line="240" w:lineRule="auto"/>
      </w:pPr>
      <w:r>
        <w:separator/>
      </w:r>
    </w:p>
  </w:endnote>
  <w:endnote w:type="continuationSeparator" w:id="0">
    <w:p w14:paraId="0E404A81" w14:textId="77777777" w:rsidR="00E87693" w:rsidRDefault="00E87693"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506B" w14:textId="77777777" w:rsidR="00E87693" w:rsidRDefault="00E87693" w:rsidP="004C2870">
      <w:pPr>
        <w:spacing w:after="0" w:line="240" w:lineRule="auto"/>
      </w:pPr>
      <w:r>
        <w:separator/>
      </w:r>
    </w:p>
  </w:footnote>
  <w:footnote w:type="continuationSeparator" w:id="0">
    <w:p w14:paraId="0A27E9E2" w14:textId="77777777" w:rsidR="00E87693" w:rsidRDefault="00E87693"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9"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B422AD"/>
    <w:multiLevelType w:val="hybridMultilevel"/>
    <w:tmpl w:val="47C4A666"/>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42653"/>
    <w:multiLevelType w:val="multilevel"/>
    <w:tmpl w:val="55DC2BC4"/>
    <w:numStyleLink w:val="ListBullets"/>
  </w:abstractNum>
  <w:abstractNum w:abstractNumId="24"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6"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440A6C"/>
    <w:multiLevelType w:val="multilevel"/>
    <w:tmpl w:val="36DAA1FC"/>
    <w:numStyleLink w:val="ListQuestion"/>
  </w:abstractNum>
  <w:abstractNum w:abstractNumId="48"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2" w15:restartNumberingAfterBreak="0">
    <w:nsid w:val="728707F3"/>
    <w:multiLevelType w:val="multilevel"/>
    <w:tmpl w:val="EA8C9634"/>
    <w:numStyleLink w:val="ListNumbers"/>
  </w:abstractNum>
  <w:abstractNum w:abstractNumId="53"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8"/>
  </w:num>
  <w:num w:numId="2" w16cid:durableId="1282110659">
    <w:abstractNumId w:val="0"/>
  </w:num>
  <w:num w:numId="3" w16cid:durableId="2004047407">
    <w:abstractNumId w:val="35"/>
  </w:num>
  <w:num w:numId="4" w16cid:durableId="297803613">
    <w:abstractNumId w:val="47"/>
  </w:num>
  <w:num w:numId="5" w16cid:durableId="374426479">
    <w:abstractNumId w:val="23"/>
  </w:num>
  <w:num w:numId="6" w16cid:durableId="8413942">
    <w:abstractNumId w:val="52"/>
  </w:num>
  <w:num w:numId="7" w16cid:durableId="738136064">
    <w:abstractNumId w:val="56"/>
  </w:num>
  <w:num w:numId="8" w16cid:durableId="710347687">
    <w:abstractNumId w:val="25"/>
  </w:num>
  <w:num w:numId="9" w16cid:durableId="1212770631">
    <w:abstractNumId w:val="5"/>
  </w:num>
  <w:num w:numId="10" w16cid:durableId="1735006662">
    <w:abstractNumId w:val="49"/>
  </w:num>
  <w:num w:numId="11" w16cid:durableId="2041709538">
    <w:abstractNumId w:val="20"/>
  </w:num>
  <w:num w:numId="12" w16cid:durableId="1390962405">
    <w:abstractNumId w:val="28"/>
  </w:num>
  <w:num w:numId="13" w16cid:durableId="330530676">
    <w:abstractNumId w:val="34"/>
  </w:num>
  <w:num w:numId="14" w16cid:durableId="813450015">
    <w:abstractNumId w:val="16"/>
  </w:num>
  <w:num w:numId="15" w16cid:durableId="1164126606">
    <w:abstractNumId w:val="48"/>
  </w:num>
  <w:num w:numId="16" w16cid:durableId="197164657">
    <w:abstractNumId w:val="7"/>
  </w:num>
  <w:num w:numId="17" w16cid:durableId="1951089306">
    <w:abstractNumId w:val="27"/>
  </w:num>
  <w:num w:numId="18" w16cid:durableId="171114674">
    <w:abstractNumId w:val="33"/>
  </w:num>
  <w:num w:numId="19" w16cid:durableId="2043049374">
    <w:abstractNumId w:val="4"/>
  </w:num>
  <w:num w:numId="20" w16cid:durableId="1355380481">
    <w:abstractNumId w:val="13"/>
  </w:num>
  <w:num w:numId="21" w16cid:durableId="1541089275">
    <w:abstractNumId w:val="51"/>
  </w:num>
  <w:num w:numId="22" w16cid:durableId="415447372">
    <w:abstractNumId w:val="45"/>
  </w:num>
  <w:num w:numId="23" w16cid:durableId="1317300633">
    <w:abstractNumId w:val="41"/>
  </w:num>
  <w:num w:numId="24" w16cid:durableId="1673218069">
    <w:abstractNumId w:val="1"/>
  </w:num>
  <w:num w:numId="25" w16cid:durableId="1828470608">
    <w:abstractNumId w:val="15"/>
  </w:num>
  <w:num w:numId="26" w16cid:durableId="1615095370">
    <w:abstractNumId w:val="44"/>
  </w:num>
  <w:num w:numId="27" w16cid:durableId="1487168920">
    <w:abstractNumId w:val="19"/>
  </w:num>
  <w:num w:numId="28" w16cid:durableId="523254263">
    <w:abstractNumId w:val="58"/>
  </w:num>
  <w:num w:numId="29" w16cid:durableId="1831141485">
    <w:abstractNumId w:val="2"/>
  </w:num>
  <w:num w:numId="30" w16cid:durableId="242419444">
    <w:abstractNumId w:val="46"/>
  </w:num>
  <w:num w:numId="31" w16cid:durableId="1765760902">
    <w:abstractNumId w:val="42"/>
  </w:num>
  <w:num w:numId="32" w16cid:durableId="1527013967">
    <w:abstractNumId w:val="21"/>
  </w:num>
  <w:num w:numId="33" w16cid:durableId="1806313423">
    <w:abstractNumId w:val="40"/>
  </w:num>
  <w:num w:numId="34" w16cid:durableId="793988890">
    <w:abstractNumId w:val="38"/>
  </w:num>
  <w:num w:numId="35" w16cid:durableId="2044133436">
    <w:abstractNumId w:val="10"/>
  </w:num>
  <w:num w:numId="36" w16cid:durableId="1541551972">
    <w:abstractNumId w:val="18"/>
  </w:num>
  <w:num w:numId="37" w16cid:durableId="1098674074">
    <w:abstractNumId w:val="24"/>
  </w:num>
  <w:num w:numId="38" w16cid:durableId="1532843528">
    <w:abstractNumId w:val="17"/>
  </w:num>
  <w:num w:numId="39" w16cid:durableId="79643593">
    <w:abstractNumId w:val="26"/>
  </w:num>
  <w:num w:numId="40" w16cid:durableId="834958114">
    <w:abstractNumId w:val="12"/>
  </w:num>
  <w:num w:numId="41" w16cid:durableId="1992785915">
    <w:abstractNumId w:val="6"/>
  </w:num>
  <w:num w:numId="42" w16cid:durableId="1769109779">
    <w:abstractNumId w:val="11"/>
  </w:num>
  <w:num w:numId="43" w16cid:durableId="415055360">
    <w:abstractNumId w:val="30"/>
  </w:num>
  <w:num w:numId="44" w16cid:durableId="286551009">
    <w:abstractNumId w:val="32"/>
  </w:num>
  <w:num w:numId="45" w16cid:durableId="529956464">
    <w:abstractNumId w:val="37"/>
  </w:num>
  <w:num w:numId="46" w16cid:durableId="1824277470">
    <w:abstractNumId w:val="31"/>
  </w:num>
  <w:num w:numId="47" w16cid:durableId="1830251890">
    <w:abstractNumId w:val="55"/>
  </w:num>
  <w:num w:numId="48" w16cid:durableId="367266890">
    <w:abstractNumId w:val="22"/>
  </w:num>
  <w:num w:numId="49" w16cid:durableId="576936171">
    <w:abstractNumId w:val="57"/>
  </w:num>
  <w:num w:numId="50" w16cid:durableId="109010883">
    <w:abstractNumId w:val="3"/>
  </w:num>
  <w:num w:numId="51" w16cid:durableId="2067946147">
    <w:abstractNumId w:val="50"/>
  </w:num>
  <w:num w:numId="52" w16cid:durableId="81219496">
    <w:abstractNumId w:val="14"/>
  </w:num>
  <w:num w:numId="53" w16cid:durableId="881208731">
    <w:abstractNumId w:val="29"/>
  </w:num>
  <w:num w:numId="54" w16cid:durableId="1485387582">
    <w:abstractNumId w:val="54"/>
  </w:num>
  <w:num w:numId="55" w16cid:durableId="37895374">
    <w:abstractNumId w:val="53"/>
  </w:num>
  <w:num w:numId="56" w16cid:durableId="2109041186">
    <w:abstractNumId w:val="43"/>
  </w:num>
  <w:num w:numId="57" w16cid:durableId="1160004057">
    <w:abstractNumId w:val="36"/>
  </w:num>
  <w:num w:numId="58" w16cid:durableId="793476381">
    <w:abstractNumId w:val="9"/>
  </w:num>
  <w:num w:numId="59" w16cid:durableId="153765297">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1F9E"/>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361C8"/>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3B59"/>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0F4E"/>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307C"/>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7295"/>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C7131"/>
    <w:rsid w:val="00BD4D89"/>
    <w:rsid w:val="00BE172D"/>
    <w:rsid w:val="00BE1884"/>
    <w:rsid w:val="00BF0A32"/>
    <w:rsid w:val="00BF2326"/>
    <w:rsid w:val="00BF2DA6"/>
    <w:rsid w:val="00BF2F3E"/>
    <w:rsid w:val="00BF69A5"/>
    <w:rsid w:val="00BF7862"/>
    <w:rsid w:val="00BF7AA4"/>
    <w:rsid w:val="00C0249D"/>
    <w:rsid w:val="00C04FA2"/>
    <w:rsid w:val="00C076F2"/>
    <w:rsid w:val="00C11D5A"/>
    <w:rsid w:val="00C1772B"/>
    <w:rsid w:val="00C221C9"/>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693"/>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EE5"/>
    <w:rsid w:val="00F54489"/>
    <w:rsid w:val="00F546DC"/>
    <w:rsid w:val="00F54F27"/>
    <w:rsid w:val="00F55AF7"/>
    <w:rsid w:val="00F571A0"/>
    <w:rsid w:val="00F57797"/>
    <w:rsid w:val="00F57DF0"/>
    <w:rsid w:val="00F6203C"/>
    <w:rsid w:val="00F63654"/>
    <w:rsid w:val="00F65244"/>
    <w:rsid w:val="00F6688F"/>
    <w:rsid w:val="00F6751A"/>
    <w:rsid w:val="00F72A8E"/>
    <w:rsid w:val="00F759F8"/>
    <w:rsid w:val="00F77601"/>
    <w:rsid w:val="00F77D0E"/>
    <w:rsid w:val="00F8034C"/>
    <w:rsid w:val="00F831E2"/>
    <w:rsid w:val="00F85B6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E0C38EE"/>
    <w:rsid w:val="0E9CDE6F"/>
    <w:rsid w:val="0FD65123"/>
    <w:rsid w:val="10EE484F"/>
    <w:rsid w:val="11731352"/>
    <w:rsid w:val="155DAA80"/>
    <w:rsid w:val="159DF462"/>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quest.com/dnsa_64" TargetMode="External"/><Relationship Id="rId18" Type="http://schemas.openxmlformats.org/officeDocument/2006/relationships/hyperlink" Target="https://www.proquest.com/pq1globalstudies" TargetMode="External"/><Relationship Id="rId3" Type="http://schemas.openxmlformats.org/officeDocument/2006/relationships/customXml" Target="../customXml/item3.xml"/><Relationship Id="rId21" Type="http://schemas.openxmlformats.org/officeDocument/2006/relationships/hyperlink" Target="https://proquest.libguides.com/Globalstudies" TargetMode="External"/><Relationship Id="rId7" Type="http://schemas.openxmlformats.org/officeDocument/2006/relationships/settings" Target="settings.xml"/><Relationship Id="rId12" Type="http://schemas.openxmlformats.org/officeDocument/2006/relationships/hyperlink" Target="https://www.proquest.com/pq1globalstudies/publication/2588" TargetMode="External"/><Relationship Id="rId17" Type="http://schemas.openxmlformats.org/officeDocument/2006/relationships/hyperlink" Target="https://search.alexanderstreet.com/secu/browse/event-area-source-type?ff%5B0%5D=case_subject_facet%3Asoviet%20union%20and%20international%20relations%2ASoviet%20Union%20and%20International%20Relations%7C192&amp;counts=39" TargetMode="External"/><Relationship Id="rId2" Type="http://schemas.openxmlformats.org/officeDocument/2006/relationships/customXml" Target="../customXml/item2.xml"/><Relationship Id="rId16" Type="http://schemas.openxmlformats.org/officeDocument/2006/relationships/hyperlink" Target="https://search.alexanderstreet.com/peac/browse/global-issues-themes?ff%5B0%5D=global_issues_theme_facet%3Apeacebuilding%20and%20post-conflict%20reconstruction%2APeacebuilding%20and%20Post-Conflict%20Reconstruction%7C213" TargetMode="External"/><Relationship Id="rId20" Type="http://schemas.openxmlformats.org/officeDocument/2006/relationships/hyperlink" Target="https://pq-static-content.proquest.com/collateral/media2/documents/brochure-pqone-globalstudies-intlrela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rch.alexanderstreet.com/disa/search?ff%5B0%5D=publisher_archive_facet%3AHandicap%20Internationa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bout.proquest.com/en/products-services/proquest-one-global-studies-international-re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arivate-my.sharepoint.com/personal/jodi_johnson_clarivate_com/Documents/Desktop/Food%20Syste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Props1.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DE4AC-1919-404B-955B-4F582930A0B5}">
  <ds:schemaRefs>
    <ds:schemaRef ds:uri="http://schemas.microsoft.com/sharepoint/v3/contenttype/forms"/>
  </ds:schemaRefs>
</ds:datastoreItem>
</file>

<file path=customXml/itemProps3.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customXml/itemProps4.xml><?xml version="1.0" encoding="utf-8"?>
<ds:datastoreItem xmlns:ds="http://schemas.openxmlformats.org/officeDocument/2006/customXml" ds:itemID="{AB3281B9-26DD-491B-AACF-73E52CC5E7E8}">
  <ds:schemaRefs>
    <ds:schemaRef ds:uri="http://schemas.microsoft.com/office/2006/metadata/properties"/>
    <ds:schemaRef ds:uri="http://schemas.microsoft.com/office/infopath/2007/PartnerControls"/>
    <ds:schemaRef ds:uri="9a5be674-c785-40c3-96f6-e155fda03ff2"/>
    <ds:schemaRef ds:uri="fab3fa0d-8297-47c3-9080-8dc781061e67"/>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465</Words>
  <Characters>3524</Characters>
  <Application>Microsoft Office Word</Application>
  <DocSecurity>0</DocSecurity>
  <Lines>110</Lines>
  <Paragraphs>59</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8</cp:revision>
  <dcterms:created xsi:type="dcterms:W3CDTF">2026-03-30T17:39:00Z</dcterms:created>
  <dcterms:modified xsi:type="dcterms:W3CDTF">2026-03-30T18:36:00Z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